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打开“模型与服务”，分别填写以下两个区域。两者可以使用同一家服务，但需要确认对应接口和模型都可用。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在交付中心先点击“查看制作报告”，确认原稿正文与页面备注逐字一致；再点击“导出 PPT”，然后点击“下载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帮助与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交”。概览按当前状态给出一个下一步动作，来源版本不同的演示会单独提示。制作台顶部固定“继续添加讲稿”，内容视图为“页面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在交付中心点击“导出 PPT”，再点击“下载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需要自动口播时，先在“模型与服务”中找到“演讲语音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HTML”，再选择已完成且与当前画面、讲稿一致的口播版本。在播放设置中也可直接“导出静态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检查后生成新版本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