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5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或服务器；第一次在“模型设置”配置内容理解与图片生成服务。项目保存在本机；调用模型时，相关文字和图片仍会发送到自己配置的服务商，并按服务商规则计费。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不会自动迁移旧项目，原项目继续从浏览器版打开；当前没有自动迁移工具。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右侧内容区阅读产品介绍，左侧导航保留。顶部“返回刚才的页面”可回到原来的编辑页面，未提交的表单内容保持；也可点击左侧“我的演讲”“风格库”等继续操作。独立打开本机介绍页时，顶部也有“返回工作台”。先看“风格制作”和“演讲稿制作”两条主线：前者介绍提取或手动设置、试做调试、内容倾向与配色；后者介绍粘贴逐字稿后自动拆页、提炼上屏文案、按风格生成，再插页、合并、拆分和导出。功能介绍、截图、具体操作步骤与常见问题全部纵向展开，一直向下滚动即可阅读，不需要切换标签或点击展开；点击截图仍可放大查看。“开始使用”部分提供安装命令、API 配置说明和 Markdown 快速指南下载。浏览介绍页不需要 API。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