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4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或服务器；第一次在“模型设置”配置内容理解与图片生成服务。项目保存在本机；调用模型时，相关文字和图片仍会发送到自己配置的服务商，并按服务商规则计费。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，在 </w:t>
      </w:r>
      <w:r>
        <w:rPr>
          <w:rFonts w:ascii="Menlo" w:hAnsi="Menlo"/>
          <w:b w:val="0"/>
          <w:sz w:val="20"/>
        </w:rPr>
        <w:t>release</w:t>
      </w:r>
      <w:r>
        <w:rPr>
          <w:b w:val="0"/>
        </w:rPr>
        <w:t xml:space="preserve"> 目录取得 App 和 ZIP；普通使用者不需要执行这些命令。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不会自动迁移旧项目，原项目继续从浏览器版打开；当前没有自动迁移工具。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在“我的演讲”中新建项目，例如“首次测试”。默认选中“克制儿童摄影杂志风”，也可改选其他风格。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 与逐字稿”。解压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介绍”，在新标签页打开产品介绍页，不会离开正在编辑的项目。先看“风格制作”和“演讲稿制作”两条主线：前者介绍提取或手动设置、试做调试、内容倾向与配色；后者介绍粘贴逐字稿后自动拆页、提炼上屏文案、按风格生成，再插页、合并、拆分和导出。功能介绍、截图、具体操作步骤与常见问题全部纵向展开，一直向下滚动即可阅读，不需要切换标签或点击展开；点击截图仍可放大查看。“开始使用”部分提供安装命令、API 配置说明和 Markdown 快速指南下载。浏览介绍页不需要 API。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生成成功后点击“将这张图设为风格封面”，风格库和选风格时就会显示这张图；此操作只改变预览，不改提示词、不增加出图参考。生成需先配置模型，会调用所选服务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“本次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显示“最近添加”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更新，重新设计才与新稿一致；旧图和版本历史保留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>点击“下载 PPT 与逐字稿”会下载带版本号的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在“演说稿”区域点击“导出演说稿（Markdown）”，可以单独导出全部页面的最新完整正文，每页用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：项目、风格、原文、页面方案、历史与任务。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：参考图、内容附件和生成图片。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