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r>
        <w:rPr>
          <w:b w:val="0"/>
        </w:rPr>
        <w:t>逐页修改后可以立即提交后台任务，再切换到其他页面继续编辑。全应用最多同时执行 4 项任务，超出自动排队；每项任务可单独停止，失败后保留旧图并支持重试。同一页排队或制作时不能重复提交。批量任务内部仍按页顺序制作；合并、拆分和切换项目风格需等该项目的任务结束。实际提速取决于模型服务商的并发与限流额度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