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2835" w:rsidRPr="00EC2835" w:rsidRDefault="00EC2835" w:rsidP="00EC283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C2835">
        <w:rPr>
          <w:rFonts w:ascii="Times New Roman" w:eastAsia="Times New Roman" w:hAnsi="Times New Roman" w:cs="Times New Roman"/>
          <w:b/>
          <w:bCs/>
          <w:kern w:val="36"/>
          <w:sz w:val="48"/>
          <w:szCs w:val="48"/>
          <w14:ligatures w14:val="none"/>
        </w:rPr>
        <w:t>BÀI LÀM: CHỌN CHIẾN LƯỢC PHÂN RÃ EPIC “HỦY CHUYẾN GHÉP”</w:t>
      </w:r>
    </w:p>
    <w:p w:rsidR="00EC2835" w:rsidRPr="00EC2835" w:rsidRDefault="00EC2835" w:rsidP="00EC283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C2835">
        <w:rPr>
          <w:rFonts w:ascii="Times New Roman" w:eastAsia="Times New Roman" w:hAnsi="Times New Roman" w:cs="Times New Roman"/>
          <w:b/>
          <w:bCs/>
          <w:kern w:val="0"/>
          <w:sz w:val="36"/>
          <w:szCs w:val="36"/>
          <w14:ligatures w14:val="none"/>
        </w:rPr>
        <w:t>Phần 1 – Đề xuất 2 chiến lược phân rã Epic</w:t>
      </w:r>
    </w:p>
    <w:p w:rsidR="00EC2835" w:rsidRPr="00EC2835" w:rsidRDefault="00EC2835" w:rsidP="00EC283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C2835">
        <w:rPr>
          <w:rFonts w:ascii="Times New Roman" w:eastAsia="Times New Roman" w:hAnsi="Times New Roman" w:cs="Times New Roman"/>
          <w:b/>
          <w:bCs/>
          <w:kern w:val="0"/>
          <w:sz w:val="27"/>
          <w:szCs w:val="27"/>
          <w14:ligatures w14:val="none"/>
        </w:rPr>
        <w:t>Chiến lược 1: Phân rã theo quy tắc nghiệp vụ</w:t>
      </w:r>
    </w:p>
    <w:p w:rsidR="00EC2835" w:rsidRPr="00EC2835" w:rsidRDefault="00EC2835" w:rsidP="00EC2835">
      <w:pPr>
        <w:numPr>
          <w:ilvl w:val="0"/>
          <w:numId w:val="1"/>
        </w:num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Feature 1: Hủy chuyến miễn phí trước khi tài xế nhận chuyến.</w:t>
      </w:r>
    </w:p>
    <w:p w:rsidR="00EC2835" w:rsidRPr="00EC2835" w:rsidRDefault="00EC2835" w:rsidP="00EC2835">
      <w:pPr>
        <w:numPr>
          <w:ilvl w:val="0"/>
          <w:numId w:val="1"/>
        </w:num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Feature 2: Tính phí hủy 10.000đ sau khi tài xế nhận chuyến.</w:t>
      </w:r>
    </w:p>
    <w:p w:rsidR="00EC2835" w:rsidRPr="00EC2835" w:rsidRDefault="00EC2835" w:rsidP="00EC2835">
      <w:pPr>
        <w:numPr>
          <w:ilvl w:val="0"/>
          <w:numId w:val="1"/>
        </w:num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Feature 3: Tính lại giá và thông báo cho khách còn lại khi có người hủy.</w:t>
      </w:r>
    </w:p>
    <w:p w:rsidR="00EC2835" w:rsidRPr="00EC2835" w:rsidRDefault="00EC2835" w:rsidP="00EC283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C2835">
        <w:rPr>
          <w:rFonts w:ascii="Times New Roman" w:eastAsia="Times New Roman" w:hAnsi="Times New Roman" w:cs="Times New Roman"/>
          <w:b/>
          <w:bCs/>
          <w:kern w:val="0"/>
          <w:sz w:val="27"/>
          <w:szCs w:val="27"/>
          <w14:ligatures w14:val="none"/>
        </w:rPr>
        <w:t>Chiến lược 2: Phân rã theo luồng người dùng</w:t>
      </w:r>
    </w:p>
    <w:p w:rsidR="00EC2835" w:rsidRPr="00EC2835" w:rsidRDefault="00EC2835" w:rsidP="00EC2835">
      <w:pPr>
        <w:numPr>
          <w:ilvl w:val="0"/>
          <w:numId w:val="2"/>
        </w:num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Feature 1: Khách hàng thực hiện yêu cầu hủy chuyến ghép.</w:t>
      </w:r>
    </w:p>
    <w:p w:rsidR="00EC2835" w:rsidRPr="00EC2835" w:rsidRDefault="00EC2835" w:rsidP="00EC2835">
      <w:pPr>
        <w:numPr>
          <w:ilvl w:val="0"/>
          <w:numId w:val="2"/>
        </w:num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Feature 2: Hệ thống xác định phí hủy và xử lý giao dịch.</w:t>
      </w:r>
    </w:p>
    <w:p w:rsidR="00EC2835" w:rsidRPr="00EC2835" w:rsidRDefault="00EC2835" w:rsidP="00EC2835">
      <w:pPr>
        <w:numPr>
          <w:ilvl w:val="0"/>
          <w:numId w:val="2"/>
        </w:num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Feature 3: Hệ thống cập nhật chuyến ghép, tính lại giá và thông báo cho các khách còn lại.</w:t>
      </w:r>
    </w:p>
    <w:p w:rsidR="00EC2835" w:rsidRPr="00EC2835" w:rsidRDefault="00EC2835" w:rsidP="00EC283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C2835">
        <w:rPr>
          <w:rFonts w:ascii="Times New Roman" w:eastAsia="Times New Roman" w:hAnsi="Times New Roman" w:cs="Times New Roman"/>
          <w:b/>
          <w:bCs/>
          <w:kern w:val="0"/>
          <w:sz w:val="36"/>
          <w:szCs w:val="36"/>
          <w14:ligatures w14:val="none"/>
        </w:rPr>
        <w:t>Phần 2 – So sánh theo tiêu chí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3332"/>
        <w:gridCol w:w="4766"/>
      </w:tblGrid>
      <w:tr w:rsidR="00EC2835" w:rsidRPr="00EC2835" w:rsidTr="00EC2835">
        <w:trPr>
          <w:tblCellSpacing w:w="15" w:type="dxa"/>
        </w:trPr>
        <w:tc>
          <w:tcPr>
            <w:tcW w:w="0" w:type="auto"/>
            <w:vAlign w:val="center"/>
            <w:hideMark/>
          </w:tcPr>
          <w:p w:rsidR="00EC2835" w:rsidRPr="00EC2835" w:rsidRDefault="00EC2835" w:rsidP="00EC2835">
            <w:pPr>
              <w:spacing w:before="100" w:beforeAutospacing="1" w:after="100" w:afterAutospacing="1"/>
              <w:jc w:val="center"/>
              <w:rPr>
                <w:rFonts w:ascii="Times New Roman" w:eastAsia="Times New Roman" w:hAnsi="Times New Roman" w:cs="Times New Roman"/>
                <w:b/>
                <w:bCs/>
                <w:kern w:val="0"/>
                <w14:ligatures w14:val="none"/>
              </w:rPr>
            </w:pPr>
            <w:r w:rsidRPr="00EC2835">
              <w:rPr>
                <w:rFonts w:ascii="Times New Roman" w:eastAsia="Times New Roman" w:hAnsi="Times New Roman" w:cs="Times New Roman"/>
                <w:b/>
                <w:bCs/>
                <w:kern w:val="0"/>
                <w14:ligatures w14:val="none"/>
              </w:rPr>
              <w:t>Tiêu chí</w:t>
            </w:r>
          </w:p>
        </w:tc>
        <w:tc>
          <w:tcPr>
            <w:tcW w:w="0" w:type="auto"/>
            <w:vAlign w:val="center"/>
            <w:hideMark/>
          </w:tcPr>
          <w:p w:rsidR="00EC2835" w:rsidRPr="00EC2835" w:rsidRDefault="00EC2835" w:rsidP="00EC2835">
            <w:pPr>
              <w:spacing w:before="100" w:beforeAutospacing="1" w:after="100" w:afterAutospacing="1"/>
              <w:jc w:val="center"/>
              <w:rPr>
                <w:rFonts w:ascii="Times New Roman" w:eastAsia="Times New Roman" w:hAnsi="Times New Roman" w:cs="Times New Roman"/>
                <w:b/>
                <w:bCs/>
                <w:kern w:val="0"/>
                <w14:ligatures w14:val="none"/>
              </w:rPr>
            </w:pPr>
            <w:r w:rsidRPr="00EC2835">
              <w:rPr>
                <w:rFonts w:ascii="Times New Roman" w:eastAsia="Times New Roman" w:hAnsi="Times New Roman" w:cs="Times New Roman"/>
                <w:b/>
                <w:bCs/>
                <w:kern w:val="0"/>
                <w14:ligatures w14:val="none"/>
              </w:rPr>
              <w:t>Chiến lược 1: Theo quy tắc nghiệp vụ</w:t>
            </w:r>
          </w:p>
        </w:tc>
        <w:tc>
          <w:tcPr>
            <w:tcW w:w="0" w:type="auto"/>
            <w:vAlign w:val="center"/>
            <w:hideMark/>
          </w:tcPr>
          <w:p w:rsidR="00EC2835" w:rsidRPr="00EC2835" w:rsidRDefault="00EC2835" w:rsidP="00EC2835">
            <w:pPr>
              <w:spacing w:before="100" w:beforeAutospacing="1" w:after="100" w:afterAutospacing="1"/>
              <w:jc w:val="center"/>
              <w:rPr>
                <w:rFonts w:ascii="Times New Roman" w:eastAsia="Times New Roman" w:hAnsi="Times New Roman" w:cs="Times New Roman"/>
                <w:b/>
                <w:bCs/>
                <w:kern w:val="0"/>
                <w14:ligatures w14:val="none"/>
              </w:rPr>
            </w:pPr>
            <w:r w:rsidRPr="00EC2835">
              <w:rPr>
                <w:rFonts w:ascii="Times New Roman" w:eastAsia="Times New Roman" w:hAnsi="Times New Roman" w:cs="Times New Roman"/>
                <w:b/>
                <w:bCs/>
                <w:kern w:val="0"/>
                <w14:ligatures w14:val="none"/>
              </w:rPr>
              <w:t>Chiến lược 2: Theo luồng người dùng</w:t>
            </w:r>
          </w:p>
        </w:tc>
      </w:tr>
      <w:tr w:rsidR="00EC2835" w:rsidRPr="00EC2835" w:rsidTr="00EC2835">
        <w:trPr>
          <w:tblCellSpacing w:w="15" w:type="dxa"/>
        </w:trPr>
        <w:tc>
          <w:tcPr>
            <w:tcW w:w="0" w:type="auto"/>
            <w:vAlign w:val="center"/>
            <w:hideMark/>
          </w:tcPr>
          <w:p w:rsidR="00EC2835" w:rsidRPr="00EC2835" w:rsidRDefault="00EC2835" w:rsidP="00EC2835">
            <w:p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Independent</w:t>
            </w:r>
          </w:p>
        </w:tc>
        <w:tc>
          <w:tcPr>
            <w:tcW w:w="0" w:type="auto"/>
            <w:vAlign w:val="center"/>
            <w:hideMark/>
          </w:tcPr>
          <w:p w:rsidR="00EC2835" w:rsidRPr="00EC2835" w:rsidRDefault="00EC2835" w:rsidP="00EC2835">
            <w:p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 Mỗi Feature tập trung vào một quy tắc cụ thể, dễ kiểm thử riêng.</w:t>
            </w:r>
          </w:p>
        </w:tc>
        <w:tc>
          <w:tcPr>
            <w:tcW w:w="0" w:type="auto"/>
            <w:vAlign w:val="center"/>
            <w:hideMark/>
          </w:tcPr>
          <w:p w:rsidR="00EC2835" w:rsidRPr="00EC2835" w:rsidRDefault="00EC2835" w:rsidP="00EC2835">
            <w:p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 Các Feature phụ thuộc vào nhau theo trình tự xử lý hủy chuyến.</w:t>
            </w:r>
          </w:p>
        </w:tc>
      </w:tr>
      <w:tr w:rsidR="00EC2835" w:rsidRPr="00EC2835" w:rsidTr="00EC2835">
        <w:trPr>
          <w:tblCellSpacing w:w="15" w:type="dxa"/>
        </w:trPr>
        <w:tc>
          <w:tcPr>
            <w:tcW w:w="0" w:type="auto"/>
            <w:vAlign w:val="center"/>
            <w:hideMark/>
          </w:tcPr>
          <w:p w:rsidR="00EC2835" w:rsidRPr="00EC2835" w:rsidRDefault="00EC2835" w:rsidP="00EC2835">
            <w:p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Small</w:t>
            </w:r>
          </w:p>
        </w:tc>
        <w:tc>
          <w:tcPr>
            <w:tcW w:w="0" w:type="auto"/>
            <w:vAlign w:val="center"/>
            <w:hideMark/>
          </w:tcPr>
          <w:p w:rsidR="00EC2835" w:rsidRPr="00EC2835" w:rsidRDefault="00EC2835" w:rsidP="00EC2835">
            <w:p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 Phạm vi từng Feature rõ ràng, dễ chia thành User Story nhỏ.</w:t>
            </w:r>
          </w:p>
        </w:tc>
        <w:tc>
          <w:tcPr>
            <w:tcW w:w="0" w:type="auto"/>
            <w:vAlign w:val="center"/>
            <w:hideMark/>
          </w:tcPr>
          <w:p w:rsidR="00EC2835" w:rsidRPr="00EC2835" w:rsidRDefault="00EC2835" w:rsidP="00EC2835">
            <w:p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 Một số Feature có thể bao gồm nhiều bước xử lý, khó hoàn thành trong vài ngày.</w:t>
            </w:r>
          </w:p>
        </w:tc>
      </w:tr>
      <w:tr w:rsidR="00EC2835" w:rsidRPr="00EC2835" w:rsidTr="00EC2835">
        <w:trPr>
          <w:tblCellSpacing w:w="15" w:type="dxa"/>
        </w:trPr>
        <w:tc>
          <w:tcPr>
            <w:tcW w:w="0" w:type="auto"/>
            <w:vAlign w:val="center"/>
            <w:hideMark/>
          </w:tcPr>
          <w:p w:rsidR="00EC2835" w:rsidRPr="00EC2835" w:rsidRDefault="00EC2835" w:rsidP="00EC2835">
            <w:p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Valuable</w:t>
            </w:r>
          </w:p>
        </w:tc>
        <w:tc>
          <w:tcPr>
            <w:tcW w:w="0" w:type="auto"/>
            <w:vAlign w:val="center"/>
            <w:hideMark/>
          </w:tcPr>
          <w:p w:rsidR="00EC2835" w:rsidRPr="00EC2835" w:rsidRDefault="00EC2835" w:rsidP="00EC2835">
            <w:p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 Mỗi Feature giải quyết một nhu cầu nghiệp vụ cụ thể.</w:t>
            </w:r>
          </w:p>
        </w:tc>
        <w:tc>
          <w:tcPr>
            <w:tcW w:w="0" w:type="auto"/>
            <w:vAlign w:val="center"/>
            <w:hideMark/>
          </w:tcPr>
          <w:p w:rsidR="00EC2835" w:rsidRPr="00EC2835" w:rsidRDefault="00EC2835" w:rsidP="00EC2835">
            <w:p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 Các Feature bám sát hành trình người dùng, giúp hoàn thành từng bước của quy trình hủy chuyến.</w:t>
            </w:r>
          </w:p>
        </w:tc>
      </w:tr>
    </w:tbl>
    <w:p w:rsidR="00EC2835" w:rsidRPr="00EC2835" w:rsidRDefault="00EC2835" w:rsidP="00EC283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EC2835">
        <w:rPr>
          <w:rFonts w:ascii="Times New Roman" w:eastAsia="Times New Roman" w:hAnsi="Times New Roman" w:cs="Times New Roman"/>
          <w:b/>
          <w:bCs/>
          <w:kern w:val="0"/>
          <w:sz w:val="36"/>
          <w:szCs w:val="36"/>
          <w14:ligatures w14:val="none"/>
        </w:rPr>
        <w:t>Phần 3 – Lựa chọn và đặc tả</w:t>
      </w:r>
    </w:p>
    <w:p w:rsidR="00EC2835" w:rsidRPr="00EC2835" w:rsidRDefault="00EC2835" w:rsidP="00EC283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C2835">
        <w:rPr>
          <w:rFonts w:ascii="Times New Roman" w:eastAsia="Times New Roman" w:hAnsi="Times New Roman" w:cs="Times New Roman"/>
          <w:b/>
          <w:bCs/>
          <w:kern w:val="0"/>
          <w:sz w:val="27"/>
          <w:szCs w:val="27"/>
          <w14:ligatures w14:val="none"/>
        </w:rPr>
        <w:t>1. Chiến lược được lựa chọn</w:t>
      </w:r>
    </w:p>
    <w:p w:rsidR="00EC2835" w:rsidRPr="00EC2835" w:rsidRDefault="00EC2835" w:rsidP="00EC2835">
      <w:p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Chọn chiến lược 1: Phân rã theo quy tắc nghiệp vụ.</w:t>
      </w:r>
    </w:p>
    <w:p w:rsidR="00EC2835" w:rsidRPr="00EC2835" w:rsidRDefault="00EC2835" w:rsidP="00EC2835">
      <w:p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Lý do: Chiến lược này giúp phân tách rõ quy tắc miễn phí hủy, tính phí hủy và cập nhật giá cho khách còn lại. Developers có thể phát triển, kiểm thử từng phần và dễ dàng xử lý các tình huống ngoại lệ.</w:t>
      </w:r>
    </w:p>
    <w:p w:rsidR="00EC2835" w:rsidRPr="00EC2835" w:rsidRDefault="00EC2835" w:rsidP="00EC283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C2835">
        <w:rPr>
          <w:rFonts w:ascii="Times New Roman" w:eastAsia="Times New Roman" w:hAnsi="Times New Roman" w:cs="Times New Roman"/>
          <w:b/>
          <w:bCs/>
          <w:kern w:val="0"/>
          <w:sz w:val="27"/>
          <w:szCs w:val="27"/>
          <w14:ligatures w14:val="none"/>
        </w:rPr>
        <w:lastRenderedPageBreak/>
        <w:t>2. User Story</w:t>
      </w:r>
    </w:p>
    <w:p w:rsidR="00EC2835" w:rsidRPr="00EC2835" w:rsidRDefault="00EC2835" w:rsidP="00EC2835">
      <w:p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As a: Khách hàng đặt xe ghép.</w:t>
      </w:r>
    </w:p>
    <w:p w:rsidR="00EC2835" w:rsidRPr="00EC2835" w:rsidRDefault="00EC2835" w:rsidP="00EC2835">
      <w:p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I want: Tôi muốn hệ thống xác định phí hủy dựa trên thời điểm máy chủ ghi nhận yêu cầu hủy so với thời điểm tài xế nhận chuyến.</w:t>
      </w:r>
    </w:p>
    <w:p w:rsidR="00EC2835" w:rsidRPr="00EC2835" w:rsidRDefault="00EC2835" w:rsidP="00EC2835">
      <w:p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So that: Tôi được tính phí hủy chính xác, công bằng và minh bạch theo quy định.</w:t>
      </w:r>
    </w:p>
    <w:p w:rsidR="00EC2835" w:rsidRPr="00EC2835" w:rsidRDefault="00EC2835" w:rsidP="00EC283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EC2835">
        <w:rPr>
          <w:rFonts w:ascii="Times New Roman" w:eastAsia="Times New Roman" w:hAnsi="Times New Roman" w:cs="Times New Roman"/>
          <w:b/>
          <w:bCs/>
          <w:kern w:val="0"/>
          <w:sz w:val="27"/>
          <w:szCs w:val="27"/>
          <w14:ligatures w14:val="none"/>
        </w:rPr>
        <w:t>3. Acceptance Criteria – Given / When / Then</w:t>
      </w:r>
    </w:p>
    <w:p w:rsidR="00EC2835" w:rsidRPr="00EC2835" w:rsidRDefault="00EC2835" w:rsidP="00EC2835">
      <w:p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Kịch bản: Khách hủy đúng lúc tài xế nhận chuyến</w:t>
      </w:r>
    </w:p>
    <w:p w:rsidR="00EC2835" w:rsidRPr="00EC2835" w:rsidRDefault="00EC2835" w:rsidP="00EC2835">
      <w:pPr>
        <w:numPr>
          <w:ilvl w:val="0"/>
          <w:numId w:val="3"/>
        </w:num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Given: Khách hàng đã đặt chuyến ghép và tài xế đang thực hiện thao tác nhận chuyến.</w:t>
      </w:r>
    </w:p>
    <w:p w:rsidR="00EC2835" w:rsidRPr="00EC2835" w:rsidRDefault="00EC2835" w:rsidP="00EC2835">
      <w:pPr>
        <w:numPr>
          <w:ilvl w:val="0"/>
          <w:numId w:val="3"/>
        </w:num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When: Yêu cầu hủy của khách và thao tác nhận chuyến xảy ra gần như đồng thời.</w:t>
      </w:r>
    </w:p>
    <w:p w:rsidR="00EC2835" w:rsidRPr="00EC2835" w:rsidRDefault="00EC2835" w:rsidP="00EC2835">
      <w:pPr>
        <w:numPr>
          <w:ilvl w:val="0"/>
          <w:numId w:val="3"/>
        </w:numPr>
        <w:spacing w:before="100" w:beforeAutospacing="1" w:after="100" w:afterAutospacing="1"/>
        <w:rPr>
          <w:rFonts w:ascii="Times New Roman" w:eastAsia="Times New Roman" w:hAnsi="Times New Roman" w:cs="Times New Roman"/>
          <w:kern w:val="0"/>
          <w14:ligatures w14:val="none"/>
        </w:rPr>
      </w:pPr>
      <w:r w:rsidRPr="00EC2835">
        <w:rPr>
          <w:rFonts w:ascii="Times New Roman" w:eastAsia="Times New Roman" w:hAnsi="Times New Roman" w:cs="Times New Roman"/>
          <w:kern w:val="0"/>
          <w14:ligatures w14:val="none"/>
        </w:rPr>
        <w:t>Then: Hệ thống căn cứ vào thời điểm ghi nhận trên máy chủ để xác định thứ tự sự kiện. Nếu yêu cầu hủy được ghi nhận trước thời điểm tài xế nhận chuyến, khách được hủy miễn phí; nếu được ghi nhận sau, khách phải trả phí hủy 10.000đ.</w:t>
      </w:r>
    </w:p>
    <w:p w:rsidR="0069324B" w:rsidRDefault="0069324B"/>
    <w:sectPr w:rsidR="006932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17450"/>
    <w:multiLevelType w:val="multilevel"/>
    <w:tmpl w:val="C71A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153C53"/>
    <w:multiLevelType w:val="multilevel"/>
    <w:tmpl w:val="0B6E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A87530"/>
    <w:multiLevelType w:val="multilevel"/>
    <w:tmpl w:val="F66C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798426">
    <w:abstractNumId w:val="0"/>
  </w:num>
  <w:num w:numId="2" w16cid:durableId="1329678303">
    <w:abstractNumId w:val="2"/>
  </w:num>
  <w:num w:numId="3" w16cid:durableId="1062797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835"/>
    <w:rsid w:val="00261CCB"/>
    <w:rsid w:val="0065128B"/>
    <w:rsid w:val="0069324B"/>
    <w:rsid w:val="00EC283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98F4EE0-1336-BE4C-B55E-600180CE6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C2835"/>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C283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C2835"/>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83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C283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C2835"/>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EC2835"/>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139084">
      <w:bodyDiv w:val="1"/>
      <w:marLeft w:val="0"/>
      <w:marRight w:val="0"/>
      <w:marTop w:val="0"/>
      <w:marBottom w:val="0"/>
      <w:divBdr>
        <w:top w:val="none" w:sz="0" w:space="0" w:color="auto"/>
        <w:left w:val="none" w:sz="0" w:space="0" w:color="auto"/>
        <w:bottom w:val="none" w:sz="0" w:space="0" w:color="auto"/>
        <w:right w:val="none" w:sz="0" w:space="0" w:color="auto"/>
      </w:divBdr>
      <w:divsChild>
        <w:div w:id="886724409">
          <w:marLeft w:val="0"/>
          <w:marRight w:val="0"/>
          <w:marTop w:val="0"/>
          <w:marBottom w:val="0"/>
          <w:divBdr>
            <w:top w:val="none" w:sz="0" w:space="0" w:color="auto"/>
            <w:left w:val="none" w:sz="0" w:space="0" w:color="auto"/>
            <w:bottom w:val="none" w:sz="0" w:space="0" w:color="auto"/>
            <w:right w:val="none" w:sz="0" w:space="0" w:color="auto"/>
          </w:divBdr>
          <w:divsChild>
            <w:div w:id="631594078">
              <w:marLeft w:val="0"/>
              <w:marRight w:val="0"/>
              <w:marTop w:val="0"/>
              <w:marBottom w:val="0"/>
              <w:divBdr>
                <w:top w:val="none" w:sz="0" w:space="0" w:color="auto"/>
                <w:left w:val="none" w:sz="0" w:space="0" w:color="auto"/>
                <w:bottom w:val="none" w:sz="0" w:space="0" w:color="auto"/>
                <w:right w:val="none" w:sz="0" w:space="0" w:color="auto"/>
              </w:divBdr>
            </w:div>
          </w:divsChild>
        </w:div>
        <w:div w:id="1966496249">
          <w:marLeft w:val="0"/>
          <w:marRight w:val="0"/>
          <w:marTop w:val="0"/>
          <w:marBottom w:val="0"/>
          <w:divBdr>
            <w:top w:val="none" w:sz="0" w:space="0" w:color="auto"/>
            <w:left w:val="none" w:sz="0" w:space="0" w:color="auto"/>
            <w:bottom w:val="none" w:sz="0" w:space="0" w:color="auto"/>
            <w:right w:val="none" w:sz="0" w:space="0" w:color="auto"/>
          </w:divBdr>
          <w:divsChild>
            <w:div w:id="1046301137">
              <w:marLeft w:val="0"/>
              <w:marRight w:val="0"/>
              <w:marTop w:val="0"/>
              <w:marBottom w:val="0"/>
              <w:divBdr>
                <w:top w:val="none" w:sz="0" w:space="0" w:color="auto"/>
                <w:left w:val="none" w:sz="0" w:space="0" w:color="auto"/>
                <w:bottom w:val="none" w:sz="0" w:space="0" w:color="auto"/>
                <w:right w:val="none" w:sz="0" w:space="0" w:color="auto"/>
              </w:divBdr>
            </w:div>
          </w:divsChild>
        </w:div>
        <w:div w:id="1495560429">
          <w:marLeft w:val="0"/>
          <w:marRight w:val="0"/>
          <w:marTop w:val="0"/>
          <w:marBottom w:val="0"/>
          <w:divBdr>
            <w:top w:val="none" w:sz="0" w:space="0" w:color="auto"/>
            <w:left w:val="none" w:sz="0" w:space="0" w:color="auto"/>
            <w:bottom w:val="none" w:sz="0" w:space="0" w:color="auto"/>
            <w:right w:val="none" w:sz="0" w:space="0" w:color="auto"/>
          </w:divBdr>
          <w:divsChild>
            <w:div w:id="1413890662">
              <w:marLeft w:val="0"/>
              <w:marRight w:val="0"/>
              <w:marTop w:val="0"/>
              <w:marBottom w:val="0"/>
              <w:divBdr>
                <w:top w:val="none" w:sz="0" w:space="0" w:color="auto"/>
                <w:left w:val="none" w:sz="0" w:space="0" w:color="auto"/>
                <w:bottom w:val="none" w:sz="0" w:space="0" w:color="auto"/>
                <w:right w:val="none" w:sz="0" w:space="0" w:color="auto"/>
              </w:divBdr>
            </w:div>
          </w:divsChild>
        </w:div>
        <w:div w:id="1889292495">
          <w:marLeft w:val="0"/>
          <w:marRight w:val="0"/>
          <w:marTop w:val="0"/>
          <w:marBottom w:val="0"/>
          <w:divBdr>
            <w:top w:val="none" w:sz="0" w:space="0" w:color="auto"/>
            <w:left w:val="none" w:sz="0" w:space="0" w:color="auto"/>
            <w:bottom w:val="none" w:sz="0" w:space="0" w:color="auto"/>
            <w:right w:val="none" w:sz="0" w:space="0" w:color="auto"/>
          </w:divBdr>
          <w:divsChild>
            <w:div w:id="118693206">
              <w:marLeft w:val="0"/>
              <w:marRight w:val="0"/>
              <w:marTop w:val="0"/>
              <w:marBottom w:val="0"/>
              <w:divBdr>
                <w:top w:val="none" w:sz="0" w:space="0" w:color="auto"/>
                <w:left w:val="none" w:sz="0" w:space="0" w:color="auto"/>
                <w:bottom w:val="none" w:sz="0" w:space="0" w:color="auto"/>
                <w:right w:val="none" w:sz="0" w:space="0" w:color="auto"/>
              </w:divBdr>
            </w:div>
          </w:divsChild>
        </w:div>
        <w:div w:id="1669089671">
          <w:marLeft w:val="0"/>
          <w:marRight w:val="0"/>
          <w:marTop w:val="0"/>
          <w:marBottom w:val="0"/>
          <w:divBdr>
            <w:top w:val="none" w:sz="0" w:space="0" w:color="auto"/>
            <w:left w:val="none" w:sz="0" w:space="0" w:color="auto"/>
            <w:bottom w:val="none" w:sz="0" w:space="0" w:color="auto"/>
            <w:right w:val="none" w:sz="0" w:space="0" w:color="auto"/>
          </w:divBdr>
          <w:divsChild>
            <w:div w:id="841120826">
              <w:marLeft w:val="0"/>
              <w:marRight w:val="0"/>
              <w:marTop w:val="0"/>
              <w:marBottom w:val="0"/>
              <w:divBdr>
                <w:top w:val="none" w:sz="0" w:space="0" w:color="auto"/>
                <w:left w:val="none" w:sz="0" w:space="0" w:color="auto"/>
                <w:bottom w:val="none" w:sz="0" w:space="0" w:color="auto"/>
                <w:right w:val="none" w:sz="0" w:space="0" w:color="auto"/>
              </w:divBdr>
            </w:div>
          </w:divsChild>
        </w:div>
        <w:div w:id="330721620">
          <w:marLeft w:val="0"/>
          <w:marRight w:val="0"/>
          <w:marTop w:val="0"/>
          <w:marBottom w:val="0"/>
          <w:divBdr>
            <w:top w:val="none" w:sz="0" w:space="0" w:color="auto"/>
            <w:left w:val="none" w:sz="0" w:space="0" w:color="auto"/>
            <w:bottom w:val="none" w:sz="0" w:space="0" w:color="auto"/>
            <w:right w:val="none" w:sz="0" w:space="0" w:color="auto"/>
          </w:divBdr>
          <w:divsChild>
            <w:div w:id="1459911322">
              <w:marLeft w:val="0"/>
              <w:marRight w:val="0"/>
              <w:marTop w:val="0"/>
              <w:marBottom w:val="0"/>
              <w:divBdr>
                <w:top w:val="none" w:sz="0" w:space="0" w:color="auto"/>
                <w:left w:val="none" w:sz="0" w:space="0" w:color="auto"/>
                <w:bottom w:val="none" w:sz="0" w:space="0" w:color="auto"/>
                <w:right w:val="none" w:sz="0" w:space="0" w:color="auto"/>
              </w:divBdr>
            </w:div>
          </w:divsChild>
        </w:div>
        <w:div w:id="2035883966">
          <w:marLeft w:val="0"/>
          <w:marRight w:val="0"/>
          <w:marTop w:val="0"/>
          <w:marBottom w:val="0"/>
          <w:divBdr>
            <w:top w:val="none" w:sz="0" w:space="0" w:color="auto"/>
            <w:left w:val="none" w:sz="0" w:space="0" w:color="auto"/>
            <w:bottom w:val="none" w:sz="0" w:space="0" w:color="auto"/>
            <w:right w:val="none" w:sz="0" w:space="0" w:color="auto"/>
          </w:divBdr>
        </w:div>
        <w:div w:id="725684808">
          <w:marLeft w:val="0"/>
          <w:marRight w:val="0"/>
          <w:marTop w:val="0"/>
          <w:marBottom w:val="0"/>
          <w:divBdr>
            <w:top w:val="none" w:sz="0" w:space="0" w:color="auto"/>
            <w:left w:val="none" w:sz="0" w:space="0" w:color="auto"/>
            <w:bottom w:val="none" w:sz="0" w:space="0" w:color="auto"/>
            <w:right w:val="none" w:sz="0" w:space="0" w:color="auto"/>
          </w:divBdr>
          <w:divsChild>
            <w:div w:id="630211656">
              <w:marLeft w:val="0"/>
              <w:marRight w:val="0"/>
              <w:marTop w:val="0"/>
              <w:marBottom w:val="0"/>
              <w:divBdr>
                <w:top w:val="none" w:sz="0" w:space="0" w:color="auto"/>
                <w:left w:val="none" w:sz="0" w:space="0" w:color="auto"/>
                <w:bottom w:val="none" w:sz="0" w:space="0" w:color="auto"/>
                <w:right w:val="none" w:sz="0" w:space="0" w:color="auto"/>
              </w:divBdr>
            </w:div>
          </w:divsChild>
        </w:div>
        <w:div w:id="1422944445">
          <w:marLeft w:val="0"/>
          <w:marRight w:val="0"/>
          <w:marTop w:val="0"/>
          <w:marBottom w:val="0"/>
          <w:divBdr>
            <w:top w:val="none" w:sz="0" w:space="0" w:color="auto"/>
            <w:left w:val="none" w:sz="0" w:space="0" w:color="auto"/>
            <w:bottom w:val="none" w:sz="0" w:space="0" w:color="auto"/>
            <w:right w:val="none" w:sz="0" w:space="0" w:color="auto"/>
          </w:divBdr>
          <w:divsChild>
            <w:div w:id="1949116137">
              <w:marLeft w:val="0"/>
              <w:marRight w:val="0"/>
              <w:marTop w:val="0"/>
              <w:marBottom w:val="0"/>
              <w:divBdr>
                <w:top w:val="none" w:sz="0" w:space="0" w:color="auto"/>
                <w:left w:val="none" w:sz="0" w:space="0" w:color="auto"/>
                <w:bottom w:val="none" w:sz="0" w:space="0" w:color="auto"/>
                <w:right w:val="none" w:sz="0" w:space="0" w:color="auto"/>
              </w:divBdr>
            </w:div>
          </w:divsChild>
        </w:div>
        <w:div w:id="129397037">
          <w:marLeft w:val="0"/>
          <w:marRight w:val="0"/>
          <w:marTop w:val="0"/>
          <w:marBottom w:val="0"/>
          <w:divBdr>
            <w:top w:val="none" w:sz="0" w:space="0" w:color="auto"/>
            <w:left w:val="none" w:sz="0" w:space="0" w:color="auto"/>
            <w:bottom w:val="none" w:sz="0" w:space="0" w:color="auto"/>
            <w:right w:val="none" w:sz="0" w:space="0" w:color="auto"/>
          </w:divBdr>
          <w:divsChild>
            <w:div w:id="9801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332</Words>
  <Characters>1893</Characters>
  <Application>Microsoft Office Word</Application>
  <DocSecurity>0</DocSecurity>
  <Lines>15</Lines>
  <Paragraphs>4</Paragraphs>
  <ScaleCrop>false</ScaleCrop>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2026-10-12T16:15:00Z</dcterms:created>
  <dcterms:modified xsi:type="dcterms:W3CDTF">2026-10-12T16:15:00Z</dcterms:modified>
</cp:coreProperties>
</file>