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ED45" w14:textId="77777777" w:rsidR="006A41D1" w:rsidRDefault="006A41D1">
      <w:pPr>
        <w:pStyle w:val="Heading1"/>
        <w:jc w:val="center"/>
        <w:divId w:val="697245646"/>
        <w:rPr>
          <w:rFonts w:eastAsia="Times New Roman"/>
        </w:rPr>
      </w:pPr>
      <w:r>
        <w:rPr>
          <w:rFonts w:eastAsia="Times New Roman"/>
        </w:rPr>
        <w:t>PROFESSIONAL SERVICES AGREEMENT</w:t>
      </w:r>
    </w:p>
    <w:p w14:paraId="22D044BD" w14:textId="77777777" w:rsidR="006A41D1" w:rsidRDefault="006A41D1">
      <w:pPr>
        <w:pStyle w:val="NormalWeb"/>
        <w:divId w:val="697245646"/>
      </w:pPr>
      <w:r>
        <w:t>This Professional Services Agreement (the "</w:t>
      </w:r>
      <w:r>
        <w:rPr>
          <w:b/>
          <w:bCs/>
        </w:rPr>
        <w:t>Agreement</w:t>
      </w:r>
      <w:r>
        <w:t>") is entered into as of ______________, 2026 (the "</w:t>
      </w:r>
      <w:r>
        <w:rPr>
          <w:b/>
          <w:bCs/>
        </w:rPr>
        <w:t>Effective Date</w:t>
      </w:r>
      <w:r>
        <w:t xml:space="preserve">") by and between </w:t>
      </w:r>
      <w:r>
        <w:rPr>
          <w:b/>
          <w:bCs/>
        </w:rPr>
        <w:t>Cobalt Outfitters, Inc.</w:t>
      </w:r>
      <w:r>
        <w:t>, a Colorado corporation with offices at 1700 Lincoln Street, Suite 3200, Denver, Colorado 80203 ("</w:t>
      </w:r>
      <w:r>
        <w:rPr>
          <w:b/>
          <w:bCs/>
        </w:rPr>
        <w:t>Cobalt</w:t>
      </w:r>
      <w:r>
        <w:t xml:space="preserve">"), and </w:t>
      </w:r>
      <w:r>
        <w:rPr>
          <w:b/>
          <w:bCs/>
        </w:rPr>
        <w:t>AtliQ Inc</w:t>
      </w:r>
      <w:r>
        <w:t>, a Delaware corporation with offices at 101 College Road East, Suite 210, Princeton, New Jersey 08540 ("</w:t>
      </w:r>
      <w:r>
        <w:rPr>
          <w:b/>
          <w:bCs/>
        </w:rPr>
        <w:t>Consultant</w:t>
      </w:r>
      <w:r>
        <w:t>").</w:t>
      </w:r>
    </w:p>
    <w:p w14:paraId="2AE9C3E1" w14:textId="77777777" w:rsidR="006A41D1" w:rsidRDefault="006A41D1">
      <w:pPr>
        <w:pStyle w:val="Heading2"/>
        <w:divId w:val="697245646"/>
        <w:rPr>
          <w:rFonts w:eastAsia="Times New Roman"/>
        </w:rPr>
      </w:pPr>
      <w:r>
        <w:rPr>
          <w:rFonts w:eastAsia="Times New Roman"/>
        </w:rPr>
        <w:t>1. SERVICES</w:t>
      </w:r>
    </w:p>
    <w:p w14:paraId="650C5193" w14:textId="77777777" w:rsidR="006A41D1" w:rsidRDefault="006A41D1">
      <w:pPr>
        <w:pStyle w:val="NormalWeb"/>
        <w:divId w:val="697245646"/>
      </w:pPr>
      <w:r>
        <w:t>1.1 Consultant shall provide the services described in each Statement of Work ("</w:t>
      </w:r>
      <w:r>
        <w:rPr>
          <w:b/>
          <w:bCs/>
        </w:rPr>
        <w:t>SOW</w:t>
      </w:r>
      <w:r>
        <w:t>"). SOW-1 covers an omnichannel inventory visibility platform for Cobalt's 46 outdoor-gear stores and e-commerce channel, including pipelines from Shopify Plus and Cobalt's NetSuite ERP, and Power BI dashboards for allocation and replenishment.</w:t>
      </w:r>
    </w:p>
    <w:p w14:paraId="24A24F24" w14:textId="77777777" w:rsidR="006A41D1" w:rsidRDefault="006A41D1">
      <w:pPr>
        <w:pStyle w:val="NormalWeb"/>
        <w:divId w:val="697245646"/>
      </w:pPr>
      <w:r>
        <w:t>1.2 Consultant may use personnel located in India, provided customer personal data is not stored outside the United States.</w:t>
      </w:r>
    </w:p>
    <w:p w14:paraId="01C2F0A6" w14:textId="77777777" w:rsidR="006A41D1" w:rsidRDefault="006A41D1">
      <w:pPr>
        <w:pStyle w:val="Heading2"/>
        <w:divId w:val="697245646"/>
        <w:rPr>
          <w:rFonts w:eastAsia="Times New Roman"/>
        </w:rPr>
      </w:pPr>
      <w:r>
        <w:rPr>
          <w:rFonts w:eastAsia="Times New Roman"/>
        </w:rPr>
        <w:t>2. FEES</w:t>
      </w:r>
    </w:p>
    <w:p w14:paraId="2E96B83E" w14:textId="77777777" w:rsidR="006A41D1" w:rsidRDefault="006A41D1">
      <w:pPr>
        <w:pStyle w:val="NormalWeb"/>
        <w:divId w:val="697245646"/>
      </w:pPr>
      <w:r>
        <w:t xml:space="preserve">2.1 SOW-1 is fixed-fee: </w:t>
      </w:r>
      <w:r>
        <w:rPr>
          <w:b/>
          <w:bCs/>
        </w:rPr>
        <w:t>USD 58,000</w:t>
      </w:r>
      <w:r>
        <w:t>, payable by milestone (Exhibit B).</w:t>
      </w:r>
    </w:p>
    <w:p w14:paraId="6726F53F" w14:textId="77777777" w:rsidR="006A41D1" w:rsidRDefault="006A41D1">
      <w:pPr>
        <w:pStyle w:val="NormalWeb"/>
        <w:divId w:val="697245646"/>
      </w:pPr>
      <w:r>
        <w:t>2.2 Change orders and future SOWs shall be charged at the rates in Exhibit A, which shall remain fixed for thirty-six (36) months from the Effective Date.</w:t>
      </w:r>
    </w:p>
    <w:p w14:paraId="5C9B50BF" w14:textId="77777777" w:rsidR="006A41D1" w:rsidRDefault="006A41D1">
      <w:pPr>
        <w:pStyle w:val="NormalWeb"/>
        <w:divId w:val="697245646"/>
      </w:pPr>
      <w:r>
        <w:t>2.3 Invoices are payable net thirty (30) days.</w:t>
      </w:r>
    </w:p>
    <w:p w14:paraId="4D758794" w14:textId="77777777" w:rsidR="006A41D1" w:rsidRDefault="006A41D1">
      <w:pPr>
        <w:pStyle w:val="Heading2"/>
        <w:divId w:val="697245646"/>
        <w:rPr>
          <w:rFonts w:eastAsia="Times New Roman"/>
        </w:rPr>
      </w:pPr>
      <w:r>
        <w:rPr>
          <w:rFonts w:eastAsia="Times New Roman"/>
        </w:rPr>
        <w:t>3. TERM AND TERMINATION</w:t>
      </w:r>
    </w:p>
    <w:p w14:paraId="30DF0A97" w14:textId="77777777" w:rsidR="006A41D1" w:rsidRDefault="006A41D1">
      <w:pPr>
        <w:pStyle w:val="NormalWeb"/>
        <w:divId w:val="697245646"/>
      </w:pPr>
      <w:r>
        <w:t>3.1 Three-year term. Either party may terminate for uncured material breach on thirty (30) days' notice. Cobalt may terminate an SOW for convenience on thirty (30) days' notice and shall pay for work performed.</w:t>
      </w:r>
    </w:p>
    <w:p w14:paraId="77A603D1" w14:textId="77777777" w:rsidR="006A41D1" w:rsidRDefault="006A41D1">
      <w:pPr>
        <w:pStyle w:val="Heading2"/>
        <w:divId w:val="697245646"/>
        <w:rPr>
          <w:rFonts w:eastAsia="Times New Roman"/>
        </w:rPr>
      </w:pPr>
      <w:r>
        <w:rPr>
          <w:rFonts w:eastAsia="Times New Roman"/>
        </w:rPr>
        <w:t>4. CONFIDENTIALITY</w:t>
      </w:r>
    </w:p>
    <w:p w14:paraId="36ED5546" w14:textId="77777777" w:rsidR="006A41D1" w:rsidRDefault="006A41D1">
      <w:pPr>
        <w:pStyle w:val="NormalWeb"/>
        <w:divId w:val="697245646"/>
      </w:pPr>
      <w:r>
        <w:t>4.1 Mutual. Three years post-termination.</w:t>
      </w:r>
    </w:p>
    <w:p w14:paraId="49ED2B15" w14:textId="77777777" w:rsidR="006A41D1" w:rsidRDefault="006A41D1">
      <w:pPr>
        <w:pStyle w:val="Heading2"/>
        <w:divId w:val="697245646"/>
        <w:rPr>
          <w:rFonts w:eastAsia="Times New Roman"/>
        </w:rPr>
      </w:pPr>
      <w:r>
        <w:rPr>
          <w:rFonts w:eastAsia="Times New Roman"/>
        </w:rPr>
        <w:t>5. INTELLECTUAL PROPERTY</w:t>
      </w:r>
    </w:p>
    <w:p w14:paraId="2A9A9780" w14:textId="77777777" w:rsidR="006A41D1" w:rsidRDefault="006A41D1">
      <w:pPr>
        <w:pStyle w:val="NormalWeb"/>
        <w:divId w:val="697245646"/>
      </w:pPr>
      <w:r>
        <w:t>5.1 Cobalt owns SOW deliverables upon payment. Consultant retains pre-existing tools, licensed to Cobalt non-exclusively and perpetually for internal use.</w:t>
      </w:r>
    </w:p>
    <w:p w14:paraId="07B2DF4C" w14:textId="77777777" w:rsidR="006A41D1" w:rsidRDefault="006A41D1">
      <w:pPr>
        <w:pStyle w:val="Heading2"/>
        <w:divId w:val="697245646"/>
        <w:rPr>
          <w:rFonts w:eastAsia="Times New Roman"/>
        </w:rPr>
      </w:pPr>
      <w:r>
        <w:rPr>
          <w:rFonts w:eastAsia="Times New Roman"/>
        </w:rPr>
        <w:t>6. WARRANTIES</w:t>
      </w:r>
    </w:p>
    <w:p w14:paraId="742D1942" w14:textId="77777777" w:rsidR="006A41D1" w:rsidRDefault="006A41D1">
      <w:pPr>
        <w:pStyle w:val="NormalWeb"/>
        <w:divId w:val="697245646"/>
      </w:pPr>
      <w:r>
        <w:t>6.1 Professional and workmanlike performance; conformity to the SOW for sixty (60) days after acceptance.</w:t>
      </w:r>
    </w:p>
    <w:p w14:paraId="012EF117" w14:textId="77777777" w:rsidR="006A41D1" w:rsidRDefault="006A41D1">
      <w:pPr>
        <w:pStyle w:val="Heading2"/>
        <w:divId w:val="697245646"/>
        <w:rPr>
          <w:rFonts w:eastAsia="Times New Roman"/>
        </w:rPr>
      </w:pPr>
      <w:r>
        <w:rPr>
          <w:rFonts w:eastAsia="Times New Roman"/>
        </w:rPr>
        <w:lastRenderedPageBreak/>
        <w:t>7. LIMITATION OF LIABILITY</w:t>
      </w:r>
    </w:p>
    <w:p w14:paraId="00E3B96E" w14:textId="77777777" w:rsidR="006A41D1" w:rsidRDefault="006A41D1">
      <w:pPr>
        <w:pStyle w:val="NormalWeb"/>
        <w:divId w:val="697245646"/>
      </w:pPr>
      <w:r>
        <w:t>7.1 Neither party liable for consequential damages. Each party's aggregate liability capped at fees paid or payable under the applicable SOW, except for confidentiality breaches and indemnity.</w:t>
      </w:r>
    </w:p>
    <w:p w14:paraId="3B4D5BAC" w14:textId="77777777" w:rsidR="006A41D1" w:rsidRDefault="006A41D1">
      <w:pPr>
        <w:pStyle w:val="Heading2"/>
        <w:divId w:val="697245646"/>
        <w:rPr>
          <w:rFonts w:eastAsia="Times New Roman"/>
        </w:rPr>
      </w:pPr>
      <w:r>
        <w:rPr>
          <w:rFonts w:eastAsia="Times New Roman"/>
        </w:rPr>
        <w:t>8. INDEMNIFICATION</w:t>
      </w:r>
    </w:p>
    <w:p w14:paraId="21C2A8FE" w14:textId="77777777" w:rsidR="006A41D1" w:rsidRDefault="006A41D1">
      <w:pPr>
        <w:pStyle w:val="NormalWeb"/>
        <w:divId w:val="697245646"/>
      </w:pPr>
      <w:r>
        <w:t>8.1 Mutual indemnity for third-party claims arising from IP infringement, breach of confidentiality, or gross negligence/willful misconduct.</w:t>
      </w:r>
    </w:p>
    <w:p w14:paraId="43D9D8C9" w14:textId="77777777" w:rsidR="006A41D1" w:rsidRDefault="006A41D1">
      <w:pPr>
        <w:pStyle w:val="Heading2"/>
        <w:divId w:val="697245646"/>
        <w:rPr>
          <w:rFonts w:eastAsia="Times New Roman"/>
        </w:rPr>
      </w:pPr>
      <w:r>
        <w:rPr>
          <w:rFonts w:eastAsia="Times New Roman"/>
        </w:rPr>
        <w:t>9. PRICING</w:t>
      </w:r>
    </w:p>
    <w:p w14:paraId="175E7FEC" w14:textId="77777777" w:rsidR="006A41D1" w:rsidRDefault="006A41D1">
      <w:pPr>
        <w:pStyle w:val="NormalWeb"/>
        <w:divId w:val="697245646"/>
      </w:pPr>
      <w:r>
        <w:t xml:space="preserve">9.1 </w:t>
      </w:r>
      <w:r>
        <w:rPr>
          <w:b/>
          <w:bCs/>
        </w:rPr>
        <w:t>Most Favored Customer.</w:t>
      </w:r>
      <w:r>
        <w:t xml:space="preserve"> </w:t>
      </w:r>
      <w:r>
        <w:t>Consultant warrants that the rates in Exhibit A are no less favorable than those Consultant charges any other customer in the United States for comparable services. If Consultant offers lower rates to another U.S. customer during the Term, Consultant shall extend them to Cobalt.</w:t>
      </w:r>
    </w:p>
    <w:p w14:paraId="1F5E3F9A" w14:textId="77777777" w:rsidR="006A41D1" w:rsidRDefault="006A41D1">
      <w:pPr>
        <w:pStyle w:val="Heading2"/>
        <w:divId w:val="697245646"/>
        <w:rPr>
          <w:rFonts w:eastAsia="Times New Roman"/>
        </w:rPr>
      </w:pPr>
      <w:r>
        <w:rPr>
          <w:rFonts w:eastAsia="Times New Roman"/>
        </w:rPr>
        <w:t>10. DELAY</w:t>
      </w:r>
    </w:p>
    <w:p w14:paraId="7DBAB9A1" w14:textId="77777777" w:rsidR="006A41D1" w:rsidRDefault="006A41D1">
      <w:pPr>
        <w:pStyle w:val="NormalWeb"/>
        <w:divId w:val="697245646"/>
      </w:pPr>
      <w:r>
        <w:t>10.1 Liquidated damages of 0.5% of the affected milestone fee per week of Consultant-caused delay, capped at 5% of that milestone fee.</w:t>
      </w:r>
    </w:p>
    <w:p w14:paraId="7F7048A6" w14:textId="77777777" w:rsidR="006A41D1" w:rsidRDefault="006A41D1">
      <w:pPr>
        <w:pStyle w:val="Heading2"/>
        <w:divId w:val="697245646"/>
        <w:rPr>
          <w:rFonts w:eastAsia="Times New Roman"/>
        </w:rPr>
      </w:pPr>
      <w:r>
        <w:rPr>
          <w:rFonts w:eastAsia="Times New Roman"/>
        </w:rPr>
        <w:t>11. GENERAL</w:t>
      </w:r>
    </w:p>
    <w:p w14:paraId="11A00F8E" w14:textId="77777777" w:rsidR="006A41D1" w:rsidRDefault="006A41D1">
      <w:pPr>
        <w:pStyle w:val="NormalWeb"/>
        <w:divId w:val="697245646"/>
      </w:pPr>
      <w:r>
        <w:t>11.1 Governed by the laws of the State of Colorado. Venue: Denver County.</w:t>
      </w:r>
    </w:p>
    <w:p w14:paraId="448168D1" w14:textId="77777777" w:rsidR="006A41D1" w:rsidRDefault="006A41D1">
      <w:pPr>
        <w:pStyle w:val="NormalWeb"/>
        <w:divId w:val="697245646"/>
      </w:pPr>
      <w:r>
        <w:t>11.2 Consultant shall maintain professional liability insurance of $1,000,000.</w:t>
      </w:r>
    </w:p>
    <w:p w14:paraId="339EF68A" w14:textId="77777777" w:rsidR="006A41D1" w:rsidRDefault="006A41D1">
      <w:pPr>
        <w:pStyle w:val="Heading2"/>
        <w:divId w:val="697245646"/>
        <w:rPr>
          <w:rFonts w:eastAsia="Times New Roman"/>
        </w:rPr>
      </w:pPr>
      <w:r>
        <w:rPr>
          <w:rFonts w:eastAsia="Times New Roman"/>
        </w:rPr>
        <w:t>EXHIBIT A — RATE CARD</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065"/>
        <w:gridCol w:w="1895"/>
      </w:tblGrid>
      <w:tr w:rsidR="00000000" w14:paraId="1B4CB615"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64D316" w14:textId="77777777" w:rsidR="006A41D1" w:rsidRDefault="006A41D1">
            <w:pPr>
              <w:rPr>
                <w:rFonts w:eastAsia="Times New Roman"/>
                <w:sz w:val="22"/>
                <w:szCs w:val="22"/>
              </w:rPr>
            </w:pPr>
            <w:r>
              <w:rPr>
                <w:rFonts w:eastAsia="Times New Roman"/>
                <w:sz w:val="22"/>
                <w:szCs w:val="22"/>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02F3B8" w14:textId="77777777" w:rsidR="006A41D1" w:rsidRDefault="006A41D1">
            <w:pPr>
              <w:rPr>
                <w:rFonts w:eastAsia="Times New Roman"/>
                <w:sz w:val="22"/>
                <w:szCs w:val="22"/>
              </w:rPr>
            </w:pPr>
            <w:r>
              <w:rPr>
                <w:rFonts w:eastAsia="Times New Roman"/>
                <w:sz w:val="22"/>
                <w:szCs w:val="22"/>
              </w:rPr>
              <w:t>Hourly Rate (USD)</w:t>
            </w:r>
          </w:p>
        </w:tc>
      </w:tr>
      <w:tr w:rsidR="00000000" w14:paraId="01D47C83"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F20E1B" w14:textId="77777777" w:rsidR="006A41D1" w:rsidRDefault="006A41D1">
            <w:pPr>
              <w:rPr>
                <w:rFonts w:eastAsia="Times New Roman"/>
                <w:sz w:val="22"/>
                <w:szCs w:val="22"/>
              </w:rPr>
            </w:pPr>
            <w:r>
              <w:rPr>
                <w:rFonts w:eastAsia="Times New Roman"/>
                <w:sz w:val="22"/>
                <w:szCs w:val="22"/>
              </w:rPr>
              <w:t>Senior Data Engineer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410C7" w14:textId="77777777" w:rsidR="006A41D1" w:rsidRDefault="006A41D1">
            <w:pPr>
              <w:rPr>
                <w:rFonts w:eastAsia="Times New Roman"/>
                <w:sz w:val="22"/>
                <w:szCs w:val="22"/>
              </w:rPr>
            </w:pPr>
            <w:r>
              <w:rPr>
                <w:rFonts w:eastAsia="Times New Roman"/>
                <w:sz w:val="22"/>
                <w:szCs w:val="22"/>
              </w:rPr>
              <w:t>$68</w:t>
            </w:r>
          </w:p>
        </w:tc>
      </w:tr>
      <w:tr w:rsidR="00000000" w14:paraId="58D1E048"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B95560" w14:textId="77777777" w:rsidR="006A41D1" w:rsidRDefault="006A41D1">
            <w:pPr>
              <w:rPr>
                <w:rFonts w:eastAsia="Times New Roman"/>
                <w:sz w:val="22"/>
                <w:szCs w:val="22"/>
              </w:rPr>
            </w:pPr>
            <w:r>
              <w:rPr>
                <w:rFonts w:eastAsia="Times New Roman"/>
                <w:sz w:val="22"/>
                <w:szCs w:val="22"/>
              </w:rPr>
              <w:t>Data Engineer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D2F07" w14:textId="77777777" w:rsidR="006A41D1" w:rsidRDefault="006A41D1">
            <w:pPr>
              <w:rPr>
                <w:rFonts w:eastAsia="Times New Roman"/>
                <w:sz w:val="22"/>
                <w:szCs w:val="22"/>
              </w:rPr>
            </w:pPr>
            <w:r>
              <w:rPr>
                <w:rFonts w:eastAsia="Times New Roman"/>
                <w:sz w:val="22"/>
                <w:szCs w:val="22"/>
              </w:rPr>
              <w:t>$52</w:t>
            </w:r>
          </w:p>
        </w:tc>
      </w:tr>
      <w:tr w:rsidR="00000000" w14:paraId="7004B696"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96019A" w14:textId="77777777" w:rsidR="006A41D1" w:rsidRDefault="006A41D1">
            <w:pPr>
              <w:rPr>
                <w:rFonts w:eastAsia="Times New Roman"/>
                <w:sz w:val="22"/>
                <w:szCs w:val="22"/>
              </w:rPr>
            </w:pPr>
            <w:r>
              <w:rPr>
                <w:rFonts w:eastAsia="Times New Roman"/>
                <w:sz w:val="22"/>
                <w:szCs w:val="22"/>
              </w:rPr>
              <w:t>BI Developer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82372" w14:textId="77777777" w:rsidR="006A41D1" w:rsidRDefault="006A41D1">
            <w:pPr>
              <w:rPr>
                <w:rFonts w:eastAsia="Times New Roman"/>
                <w:sz w:val="22"/>
                <w:szCs w:val="22"/>
              </w:rPr>
            </w:pPr>
            <w:r>
              <w:rPr>
                <w:rFonts w:eastAsia="Times New Roman"/>
                <w:sz w:val="22"/>
                <w:szCs w:val="22"/>
              </w:rPr>
              <w:t>$48</w:t>
            </w:r>
          </w:p>
        </w:tc>
      </w:tr>
      <w:tr w:rsidR="00000000" w14:paraId="0AB68F27"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DD8117" w14:textId="77777777" w:rsidR="006A41D1" w:rsidRDefault="006A41D1">
            <w:pPr>
              <w:rPr>
                <w:rFonts w:eastAsia="Times New Roman"/>
                <w:sz w:val="22"/>
                <w:szCs w:val="22"/>
              </w:rPr>
            </w:pPr>
            <w:r>
              <w:rPr>
                <w:rFonts w:eastAsia="Times New Roman"/>
                <w:sz w:val="22"/>
                <w:szCs w:val="22"/>
              </w:rPr>
              <w:t>Solution Architect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E3F12" w14:textId="77777777" w:rsidR="006A41D1" w:rsidRDefault="006A41D1">
            <w:pPr>
              <w:rPr>
                <w:rFonts w:eastAsia="Times New Roman"/>
                <w:sz w:val="22"/>
                <w:szCs w:val="22"/>
              </w:rPr>
            </w:pPr>
            <w:r>
              <w:rPr>
                <w:rFonts w:eastAsia="Times New Roman"/>
                <w:sz w:val="22"/>
                <w:szCs w:val="22"/>
              </w:rPr>
              <w:t>$85</w:t>
            </w:r>
          </w:p>
        </w:tc>
      </w:tr>
    </w:tbl>
    <w:p w14:paraId="189E7727" w14:textId="77777777" w:rsidR="006A41D1" w:rsidRDefault="006A41D1">
      <w:pPr>
        <w:pStyle w:val="NormalWeb"/>
        <w:divId w:val="697245646"/>
      </w:pPr>
      <w:r>
        <w:t>Blended onshore/offshore. Rates fixed for 36 months.</w:t>
      </w:r>
    </w:p>
    <w:p w14:paraId="124DDE8D" w14:textId="77777777" w:rsidR="006A41D1" w:rsidRDefault="006A41D1">
      <w:pPr>
        <w:pStyle w:val="Heading2"/>
        <w:divId w:val="697245646"/>
        <w:rPr>
          <w:rFonts w:eastAsia="Times New Roman"/>
        </w:rPr>
      </w:pPr>
      <w:r>
        <w:rPr>
          <w:rFonts w:eastAsia="Times New Roman"/>
        </w:rPr>
        <w:t>EXHIBIT B — SOW-1 MILESTONES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051"/>
        <w:gridCol w:w="2706"/>
        <w:gridCol w:w="1131"/>
      </w:tblGrid>
      <w:tr w:rsidR="00000000" w14:paraId="3E4C3D31"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5F705C" w14:textId="77777777" w:rsidR="006A41D1" w:rsidRDefault="006A41D1">
            <w:pPr>
              <w:rPr>
                <w:rFonts w:eastAsia="Times New Roman"/>
                <w:sz w:val="22"/>
                <w:szCs w:val="22"/>
              </w:rPr>
            </w:pPr>
            <w:r>
              <w:rPr>
                <w:rFonts w:eastAsia="Times New Roman"/>
                <w:sz w:val="22"/>
                <w:szCs w:val="22"/>
              </w:rPr>
              <w:t>Milestone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6488B" w14:textId="77777777" w:rsidR="006A41D1" w:rsidRDefault="006A41D1">
            <w:pPr>
              <w:rPr>
                <w:rFonts w:eastAsia="Times New Roman"/>
                <w:sz w:val="22"/>
                <w:szCs w:val="22"/>
              </w:rPr>
            </w:pPr>
            <w:r>
              <w:rPr>
                <w:rFonts w:eastAsia="Times New Roman"/>
                <w:sz w:val="22"/>
                <w:szCs w:val="22"/>
              </w:rPr>
              <w:t>Deliverable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9F582" w14:textId="77777777" w:rsidR="006A41D1" w:rsidRDefault="006A41D1">
            <w:pPr>
              <w:rPr>
                <w:rFonts w:eastAsia="Times New Roman"/>
                <w:sz w:val="22"/>
                <w:szCs w:val="22"/>
              </w:rPr>
            </w:pPr>
            <w:r>
              <w:rPr>
                <w:rFonts w:eastAsia="Times New Roman"/>
                <w:sz w:val="22"/>
                <w:szCs w:val="22"/>
              </w:rPr>
              <w:t>Fee (USD)</w:t>
            </w:r>
          </w:p>
        </w:tc>
      </w:tr>
      <w:tr w:rsidR="00000000" w14:paraId="7D501B11"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D446CA" w14:textId="77777777" w:rsidR="006A41D1" w:rsidRDefault="006A41D1">
            <w:pPr>
              <w:rPr>
                <w:rFonts w:eastAsia="Times New Roman"/>
                <w:sz w:val="22"/>
                <w:szCs w:val="22"/>
              </w:rPr>
            </w:pPr>
            <w:r>
              <w:rPr>
                <w:rFonts w:eastAsia="Times New Roman"/>
                <w:sz w:val="22"/>
                <w:szCs w:val="22"/>
              </w:rPr>
              <w:t>M1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C5986" w14:textId="77777777" w:rsidR="006A41D1" w:rsidRDefault="006A41D1">
            <w:pPr>
              <w:rPr>
                <w:rFonts w:eastAsia="Times New Roman"/>
                <w:sz w:val="22"/>
                <w:szCs w:val="22"/>
              </w:rPr>
            </w:pPr>
            <w:r>
              <w:rPr>
                <w:rFonts w:eastAsia="Times New Roman"/>
                <w:sz w:val="22"/>
                <w:szCs w:val="22"/>
              </w:rPr>
              <w:t>Discovery and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32E9E" w14:textId="77777777" w:rsidR="006A41D1" w:rsidRDefault="006A41D1">
            <w:pPr>
              <w:rPr>
                <w:rFonts w:eastAsia="Times New Roman"/>
                <w:sz w:val="22"/>
                <w:szCs w:val="22"/>
              </w:rPr>
            </w:pPr>
            <w:r>
              <w:rPr>
                <w:rFonts w:eastAsia="Times New Roman"/>
                <w:sz w:val="22"/>
                <w:szCs w:val="22"/>
              </w:rPr>
              <w:t>8,700</w:t>
            </w:r>
          </w:p>
        </w:tc>
      </w:tr>
      <w:tr w:rsidR="00000000" w14:paraId="43A70C2B"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2B59CF" w14:textId="77777777" w:rsidR="006A41D1" w:rsidRDefault="006A41D1">
            <w:pPr>
              <w:rPr>
                <w:rFonts w:eastAsia="Times New Roman"/>
                <w:sz w:val="22"/>
                <w:szCs w:val="22"/>
              </w:rPr>
            </w:pPr>
            <w:r>
              <w:rPr>
                <w:rFonts w:eastAsia="Times New Roman"/>
                <w:sz w:val="22"/>
                <w:szCs w:val="22"/>
              </w:rPr>
              <w:t>M2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10CC6" w14:textId="77777777" w:rsidR="006A41D1" w:rsidRDefault="006A41D1">
            <w:pPr>
              <w:rPr>
                <w:rFonts w:eastAsia="Times New Roman"/>
                <w:sz w:val="22"/>
                <w:szCs w:val="22"/>
              </w:rPr>
            </w:pPr>
            <w:r>
              <w:rPr>
                <w:rFonts w:eastAsia="Times New Roman"/>
                <w:sz w:val="22"/>
                <w:szCs w:val="22"/>
              </w:rPr>
              <w:t>Shopify + NetSuite pipelines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F3F912" w14:textId="77777777" w:rsidR="006A41D1" w:rsidRDefault="006A41D1">
            <w:pPr>
              <w:rPr>
                <w:rFonts w:eastAsia="Times New Roman"/>
                <w:sz w:val="22"/>
                <w:szCs w:val="22"/>
              </w:rPr>
            </w:pPr>
            <w:r>
              <w:rPr>
                <w:rFonts w:eastAsia="Times New Roman"/>
                <w:sz w:val="22"/>
                <w:szCs w:val="22"/>
              </w:rPr>
              <w:t>20,300</w:t>
            </w:r>
          </w:p>
        </w:tc>
      </w:tr>
      <w:tr w:rsidR="00000000" w14:paraId="3FA5AAF8"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8AA55C" w14:textId="77777777" w:rsidR="006A41D1" w:rsidRDefault="006A41D1">
            <w:pPr>
              <w:rPr>
                <w:rFonts w:eastAsia="Times New Roman"/>
                <w:sz w:val="22"/>
                <w:szCs w:val="22"/>
              </w:rPr>
            </w:pPr>
            <w:r>
              <w:rPr>
                <w:rFonts w:eastAsia="Times New Roman"/>
                <w:sz w:val="22"/>
                <w:szCs w:val="22"/>
              </w:rPr>
              <w:t>M3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6AF29" w14:textId="77777777" w:rsidR="006A41D1" w:rsidRDefault="006A41D1">
            <w:pPr>
              <w:rPr>
                <w:rFonts w:eastAsia="Times New Roman"/>
                <w:sz w:val="22"/>
                <w:szCs w:val="22"/>
              </w:rPr>
            </w:pPr>
            <w:r>
              <w:rPr>
                <w:rFonts w:eastAsia="Times New Roman"/>
                <w:sz w:val="22"/>
                <w:szCs w:val="22"/>
              </w:rPr>
              <w:t>Inventory visibility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A91BC" w14:textId="77777777" w:rsidR="006A41D1" w:rsidRDefault="006A41D1">
            <w:pPr>
              <w:rPr>
                <w:rFonts w:eastAsia="Times New Roman"/>
                <w:sz w:val="22"/>
                <w:szCs w:val="22"/>
              </w:rPr>
            </w:pPr>
            <w:r>
              <w:rPr>
                <w:rFonts w:eastAsia="Times New Roman"/>
                <w:sz w:val="22"/>
                <w:szCs w:val="22"/>
              </w:rPr>
              <w:t>17,400</w:t>
            </w:r>
          </w:p>
        </w:tc>
      </w:tr>
      <w:tr w:rsidR="00000000" w14:paraId="2D12F00E"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9CC57C" w14:textId="77777777" w:rsidR="006A41D1" w:rsidRDefault="006A41D1">
            <w:pPr>
              <w:rPr>
                <w:rFonts w:eastAsia="Times New Roman"/>
                <w:sz w:val="22"/>
                <w:szCs w:val="22"/>
              </w:rPr>
            </w:pPr>
            <w:r>
              <w:rPr>
                <w:rFonts w:eastAsia="Times New Roman"/>
                <w:sz w:val="22"/>
                <w:szCs w:val="22"/>
              </w:rPr>
              <w:lastRenderedPageBreak/>
              <w:t>M4</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0F447" w14:textId="77777777" w:rsidR="006A41D1" w:rsidRDefault="006A41D1">
            <w:pPr>
              <w:rPr>
                <w:rFonts w:eastAsia="Times New Roman"/>
                <w:sz w:val="22"/>
                <w:szCs w:val="22"/>
              </w:rPr>
            </w:pPr>
            <w:r>
              <w:rPr>
                <w:rFonts w:eastAsia="Times New Roman"/>
                <w:sz w:val="22"/>
                <w:szCs w:val="22"/>
              </w:rPr>
              <w:t>Dashboards and handover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AB7ED2E" w14:textId="77777777" w:rsidR="006A41D1" w:rsidRDefault="006A41D1">
            <w:pPr>
              <w:rPr>
                <w:rFonts w:eastAsia="Times New Roman"/>
                <w:sz w:val="22"/>
                <w:szCs w:val="22"/>
              </w:rPr>
            </w:pPr>
            <w:r>
              <w:rPr>
                <w:rFonts w:eastAsia="Times New Roman"/>
                <w:sz w:val="22"/>
                <w:szCs w:val="22"/>
              </w:rPr>
              <w:t>11,600</w:t>
            </w:r>
          </w:p>
        </w:tc>
      </w:tr>
      <w:tr w:rsidR="00000000" w14:paraId="69031D78" w14:textId="77777777">
        <w:trPr>
          <w:divId w:val="69724564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90039B" w14:textId="77777777" w:rsidR="006A41D1" w:rsidRDefault="006A41D1">
            <w:pPr>
              <w:rPr>
                <w:rFonts w:eastAsia="Times New Roman"/>
                <w:sz w:val="22"/>
                <w:szCs w:val="22"/>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1E725D5" w14:textId="77777777" w:rsidR="006A41D1" w:rsidRDefault="006A41D1">
            <w:pPr>
              <w:rPr>
                <w:rFonts w:eastAsia="Times New Roman"/>
                <w:sz w:val="22"/>
                <w:szCs w:val="22"/>
              </w:rPr>
            </w:pPr>
            <w:r>
              <w:rPr>
                <w:rFonts w:eastAsia="Times New Roman"/>
                <w:b/>
                <w:bCs/>
                <w:sz w:val="22"/>
                <w:szCs w:val="22"/>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30BA8" w14:textId="77777777" w:rsidR="006A41D1" w:rsidRDefault="006A41D1">
            <w:pPr>
              <w:rPr>
                <w:rFonts w:eastAsia="Times New Roman"/>
                <w:sz w:val="22"/>
                <w:szCs w:val="22"/>
              </w:rPr>
            </w:pPr>
            <w:r>
              <w:rPr>
                <w:rFonts w:eastAsia="Times New Roman"/>
                <w:b/>
                <w:bCs/>
                <w:sz w:val="22"/>
                <w:szCs w:val="22"/>
              </w:rPr>
              <w:t>58,000</w:t>
            </w:r>
          </w:p>
        </w:tc>
      </w:tr>
    </w:tbl>
    <w:p w14:paraId="378E8519" w14:textId="77777777" w:rsidR="006A41D1" w:rsidRDefault="006A41D1">
      <w:pPr>
        <w:pStyle w:val="Heading2"/>
        <w:divId w:val="697245646"/>
        <w:rPr>
          <w:rFonts w:eastAsia="Times New Roman"/>
        </w:rPr>
      </w:pPr>
      <w:r>
        <w:rPr>
          <w:rFonts w:eastAsia="Times New Roman"/>
        </w:rPr>
        <w:t>SIGNATURES</w:t>
      </w:r>
    </w:p>
    <w:p w14:paraId="7194D743" w14:textId="77777777" w:rsidR="006A41D1" w:rsidRDefault="006A41D1">
      <w:pPr>
        <w:pStyle w:val="NormalWeb"/>
        <w:divId w:val="697245646"/>
      </w:pPr>
      <w:r>
        <w:rPr>
          <w:b/>
          <w:bCs/>
        </w:rPr>
        <w:t>COBALT OUTFITTERS, INC.</w:t>
      </w:r>
    </w:p>
    <w:p w14:paraId="7613149B" w14:textId="77777777" w:rsidR="006A41D1" w:rsidRDefault="006A41D1">
      <w:pPr>
        <w:pStyle w:val="NormalWeb"/>
        <w:divId w:val="697245646"/>
      </w:pPr>
      <w:r>
        <w:t>By: ________________ Name: Ethan Marsh Title: Director, Retail Systems Date: ______</w:t>
      </w:r>
    </w:p>
    <w:p w14:paraId="550A7478" w14:textId="77777777" w:rsidR="006A41D1" w:rsidRDefault="006A41D1">
      <w:pPr>
        <w:pStyle w:val="NormalWeb"/>
        <w:divId w:val="697245646"/>
      </w:pPr>
      <w:r>
        <w:rPr>
          <w:b/>
          <w:bCs/>
        </w:rPr>
        <w:t>ATLIQ INC</w:t>
      </w:r>
    </w:p>
    <w:p w14:paraId="0D230AAB" w14:textId="77777777" w:rsidR="006A41D1" w:rsidRDefault="006A41D1">
      <w:pPr>
        <w:pStyle w:val="NormalWeb"/>
        <w:divId w:val="697245646"/>
      </w:pPr>
      <w:r>
        <w:t>By: ________________ Name: ________________ Title: ________________ Date: ______</w:t>
      </w:r>
    </w:p>
    <w:sectPr w:rsidR="006A4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47A4"/>
    <w:rsid w:val="006A41D1"/>
    <w:rsid w:val="007154DB"/>
    <w:rsid w:val="00FA4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7379B"/>
  <w15:chartTrackingRefBased/>
  <w15:docId w15:val="{A8EB0DA1-9A89-4B20-9DA3-D6D94536A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0"/>
      <w:szCs w:val="30"/>
    </w:rPr>
  </w:style>
  <w:style w:type="paragraph" w:styleId="Heading2">
    <w:name w:val="heading 2"/>
    <w:basedOn w:val="Normal"/>
    <w:link w:val="Heading2Char"/>
    <w:uiPriority w:val="9"/>
    <w:qFormat/>
    <w:pPr>
      <w:spacing w:before="288" w:after="100" w:afterAutospacing="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245646">
      <w:bodyDiv w:val="1"/>
      <w:marLeft w:val="0"/>
      <w:marRight w:val="0"/>
      <w:marTop w:val="720"/>
      <w:marBottom w:val="7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 Vadali</dc:creator>
  <cp:keywords/>
  <dc:description/>
  <cp:lastModifiedBy>Vaibhavi Vadali</cp:lastModifiedBy>
  <cp:revision>2</cp:revision>
  <dcterms:created xsi:type="dcterms:W3CDTF">2026-10-13T17:22:00Z</dcterms:created>
  <dcterms:modified xsi:type="dcterms:W3CDTF">2026-10-13T17:22:00Z</dcterms:modified>
</cp:coreProperties>
</file>