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E5B8" w14:textId="77777777" w:rsidR="00CA5A9B" w:rsidRDefault="00CA5A9B">
      <w:pPr>
        <w:pStyle w:val="Heading1"/>
        <w:jc w:val="center"/>
        <w:divId w:val="491600524"/>
        <w:rPr>
          <w:rFonts w:eastAsia="Times New Roman"/>
        </w:rPr>
      </w:pPr>
      <w:r>
        <w:rPr>
          <w:rFonts w:eastAsia="Times New Roman"/>
        </w:rPr>
        <w:t>MASTER SERVICES AGREEMENT</w:t>
      </w:r>
    </w:p>
    <w:p w14:paraId="160D6B42" w14:textId="77777777" w:rsidR="00CA5A9B" w:rsidRDefault="00CA5A9B">
      <w:pPr>
        <w:pStyle w:val="NormalWeb"/>
        <w:divId w:val="491600524"/>
      </w:pPr>
      <w:r>
        <w:t>This Master Services Agreement (the "</w:t>
      </w:r>
      <w:r>
        <w:rPr>
          <w:b/>
          <w:bCs/>
        </w:rPr>
        <w:t>Agreement</w:t>
      </w:r>
      <w:r>
        <w:t>") is entered into as of ______________, 2026 (the "</w:t>
      </w:r>
      <w:r>
        <w:rPr>
          <w:b/>
          <w:bCs/>
        </w:rPr>
        <w:t>Effective Date</w:t>
      </w:r>
      <w:r>
        <w:t xml:space="preserve">") between </w:t>
      </w:r>
      <w:r>
        <w:rPr>
          <w:b/>
          <w:bCs/>
        </w:rPr>
        <w:t>Greystone Claims Solutions, Inc.</w:t>
      </w:r>
      <w:r>
        <w:t>, a Delaware corporation with offices at 100 Pearl Street, 12th Floor, Hartford, Connecticut 06103 ("</w:t>
      </w:r>
      <w:r>
        <w:rPr>
          <w:b/>
          <w:bCs/>
        </w:rPr>
        <w:t>Greystone</w:t>
      </w:r>
      <w:r>
        <w:t xml:space="preserve">"), and </w:t>
      </w:r>
      <w:r>
        <w:rPr>
          <w:b/>
          <w:bCs/>
        </w:rPr>
        <w:t>AtliQ Inc</w:t>
      </w:r>
      <w:r>
        <w:t>, a Delaware corporation with offices at 101 College Road East, Suite 210, Princeton, New Jersey 08540 ("</w:t>
      </w:r>
      <w:r>
        <w:rPr>
          <w:b/>
          <w:bCs/>
        </w:rPr>
        <w:t>Provider</w:t>
      </w:r>
      <w:r>
        <w:t>").</w:t>
      </w:r>
    </w:p>
    <w:p w14:paraId="1BD88B49" w14:textId="77777777" w:rsidR="00CA5A9B" w:rsidRDefault="00CA5A9B">
      <w:pPr>
        <w:pStyle w:val="Heading2"/>
        <w:numPr>
          <w:ilvl w:val="0"/>
          <w:numId w:val="1"/>
        </w:numPr>
        <w:divId w:val="491600524"/>
        <w:rPr>
          <w:rFonts w:eastAsia="Times New Roman"/>
        </w:rPr>
      </w:pPr>
      <w:r>
        <w:rPr>
          <w:rFonts w:eastAsia="Times New Roman"/>
        </w:rPr>
        <w:t>BACKGROUND</w:t>
      </w:r>
    </w:p>
    <w:p w14:paraId="5D642DDC" w14:textId="77777777" w:rsidR="00CA5A9B" w:rsidRDefault="00CA5A9B">
      <w:pPr>
        <w:pStyle w:val="NormalWeb"/>
        <w:divId w:val="491600524"/>
      </w:pPr>
      <w:r>
        <w:t>1.1 Greystone is a third-party claims administrator handling personal auto and property claims on behalf of eleven U.S. property and casualty insurers.</w:t>
      </w:r>
    </w:p>
    <w:p w14:paraId="67402F8E" w14:textId="77777777" w:rsidR="00CA5A9B" w:rsidRDefault="00CA5A9B">
      <w:pPr>
        <w:pStyle w:val="NormalWeb"/>
        <w:divId w:val="491600524"/>
      </w:pPr>
      <w:r>
        <w:t>1.2 Greystone wishes to engage Provider to build a claims-triage and fraud-indicator analytics platform for use in its own claims operations.</w:t>
      </w:r>
    </w:p>
    <w:p w14:paraId="246D443D" w14:textId="77777777" w:rsidR="00CA5A9B" w:rsidRDefault="00CA5A9B">
      <w:pPr>
        <w:pStyle w:val="Heading2"/>
        <w:numPr>
          <w:ilvl w:val="0"/>
          <w:numId w:val="2"/>
        </w:numPr>
        <w:divId w:val="491600524"/>
        <w:rPr>
          <w:rFonts w:eastAsia="Times New Roman"/>
        </w:rPr>
      </w:pPr>
      <w:r>
        <w:rPr>
          <w:rFonts w:eastAsia="Times New Roman"/>
        </w:rPr>
        <w:t>SERVICES</w:t>
      </w:r>
    </w:p>
    <w:p w14:paraId="0EDF8FFC" w14:textId="77777777" w:rsidR="00CA5A9B" w:rsidRDefault="00CA5A9B">
      <w:pPr>
        <w:pStyle w:val="NormalWeb"/>
        <w:divId w:val="491600524"/>
      </w:pPr>
      <w:r>
        <w:t>2.1 SOW-1 covers: (a) ingestion of first-notice-of-loss, adjuster notes and payment data from Greystone's Guidewire ClaimCenter instance; (b) a claims-complexity and fraud-indicator scoring model; and (c) adjuster workload dashboards.</w:t>
      </w:r>
    </w:p>
    <w:p w14:paraId="31A37663" w14:textId="77777777" w:rsidR="00CA5A9B" w:rsidRDefault="00CA5A9B">
      <w:pPr>
        <w:pStyle w:val="NormalWeb"/>
        <w:divId w:val="491600524"/>
      </w:pPr>
      <w:r>
        <w:t>2.2 Provider may use personnel in India for development, provided that claimant personal information is accessed only via Greystone's U.S.-hosted virtual desktop environment and is not downloaded.</w:t>
      </w:r>
    </w:p>
    <w:p w14:paraId="67018483" w14:textId="77777777" w:rsidR="00CA5A9B" w:rsidRDefault="00CA5A9B">
      <w:pPr>
        <w:pStyle w:val="Heading2"/>
        <w:numPr>
          <w:ilvl w:val="0"/>
          <w:numId w:val="3"/>
        </w:numPr>
        <w:divId w:val="491600524"/>
        <w:rPr>
          <w:rFonts w:eastAsia="Times New Roman"/>
        </w:rPr>
      </w:pPr>
      <w:r>
        <w:rPr>
          <w:rFonts w:eastAsia="Times New Roman"/>
        </w:rPr>
        <w:t>FEES AND PAYMENT</w:t>
      </w:r>
    </w:p>
    <w:p w14:paraId="4045798B" w14:textId="77777777" w:rsidR="00CA5A9B" w:rsidRDefault="00CA5A9B">
      <w:pPr>
        <w:pStyle w:val="NormalWeb"/>
        <w:divId w:val="491600524"/>
      </w:pPr>
      <w:r>
        <w:t xml:space="preserve">3.1 SOW-1 fees: </w:t>
      </w:r>
      <w:r>
        <w:rPr>
          <w:b/>
          <w:bCs/>
        </w:rPr>
        <w:t>USD 86,000</w:t>
      </w:r>
      <w:r>
        <w:t>, payable by milestone (Exhibit A).</w:t>
      </w:r>
    </w:p>
    <w:p w14:paraId="4454AF2D" w14:textId="77777777" w:rsidR="00CA5A9B" w:rsidRDefault="00CA5A9B">
      <w:pPr>
        <w:pStyle w:val="NormalWeb"/>
        <w:divId w:val="491600524"/>
      </w:pPr>
      <w:r>
        <w:t>3.2 Payment within thirty (30) days of invoice.</w:t>
      </w:r>
    </w:p>
    <w:p w14:paraId="7FD1177A" w14:textId="77777777" w:rsidR="00CA5A9B" w:rsidRDefault="00CA5A9B">
      <w:pPr>
        <w:pStyle w:val="Heading2"/>
        <w:numPr>
          <w:ilvl w:val="0"/>
          <w:numId w:val="4"/>
        </w:numPr>
        <w:divId w:val="491600524"/>
        <w:rPr>
          <w:rFonts w:eastAsia="Times New Roman"/>
        </w:rPr>
      </w:pPr>
      <w:r>
        <w:rPr>
          <w:rFonts w:eastAsia="Times New Roman"/>
        </w:rPr>
        <w:t>TERM AND TERMINATION</w:t>
      </w:r>
    </w:p>
    <w:p w14:paraId="137EA420" w14:textId="77777777" w:rsidR="00CA5A9B" w:rsidRDefault="00CA5A9B">
      <w:pPr>
        <w:pStyle w:val="NormalWeb"/>
        <w:divId w:val="491600524"/>
      </w:pPr>
      <w:r>
        <w:t>4.1 Two (2) year term. Either party may terminate for uncured material breach (30 days). Greystone may terminate an SOW for convenience on thirty (30) days' notice, paying for work performed and non-cancellable commitments.</w:t>
      </w:r>
    </w:p>
    <w:p w14:paraId="7C6B1C63" w14:textId="77777777" w:rsidR="00CA5A9B" w:rsidRDefault="00CA5A9B">
      <w:pPr>
        <w:pStyle w:val="Heading2"/>
        <w:numPr>
          <w:ilvl w:val="0"/>
          <w:numId w:val="5"/>
        </w:numPr>
        <w:divId w:val="491600524"/>
        <w:rPr>
          <w:rFonts w:eastAsia="Times New Roman"/>
        </w:rPr>
      </w:pPr>
      <w:r>
        <w:rPr>
          <w:rFonts w:eastAsia="Times New Roman"/>
        </w:rPr>
        <w:t>CONFIDENTIALITY</w:t>
      </w:r>
    </w:p>
    <w:p w14:paraId="342D0E15" w14:textId="77777777" w:rsidR="00CA5A9B" w:rsidRDefault="00CA5A9B">
      <w:pPr>
        <w:pStyle w:val="NormalWeb"/>
        <w:divId w:val="491600524"/>
      </w:pPr>
      <w:r>
        <w:t>5.1 Mutual. Each party protects the other's Confidential Information with reasonable care; obligations survive three (3) years, and indefinitely for trade secrets and claimant personal information.</w:t>
      </w:r>
    </w:p>
    <w:p w14:paraId="3F8208E1" w14:textId="77777777" w:rsidR="00CA5A9B" w:rsidRDefault="00CA5A9B">
      <w:pPr>
        <w:pStyle w:val="Heading2"/>
        <w:numPr>
          <w:ilvl w:val="0"/>
          <w:numId w:val="6"/>
        </w:numPr>
        <w:divId w:val="491600524"/>
        <w:rPr>
          <w:rFonts w:eastAsia="Times New Roman"/>
        </w:rPr>
      </w:pPr>
      <w:r>
        <w:rPr>
          <w:rFonts w:eastAsia="Times New Roman"/>
        </w:rPr>
        <w:t>INTELLECTUAL PROPERTY</w:t>
      </w:r>
    </w:p>
    <w:p w14:paraId="7A9B83FD" w14:textId="77777777" w:rsidR="00CA5A9B" w:rsidRDefault="00CA5A9B">
      <w:pPr>
        <w:pStyle w:val="NormalWeb"/>
        <w:divId w:val="491600524"/>
      </w:pPr>
      <w:r>
        <w:lastRenderedPageBreak/>
        <w:t>6.1 Greystone owns Deliverables created specifically for it on payment. Provider retains its pre-existing tools and know-how, and grants Greystone a perpetual, non-exclusive, royalty-free licence to use those incorporated in Deliverables for internal purposes.</w:t>
      </w:r>
    </w:p>
    <w:p w14:paraId="3B238276" w14:textId="77777777" w:rsidR="00CA5A9B" w:rsidRDefault="00CA5A9B">
      <w:pPr>
        <w:pStyle w:val="Heading2"/>
        <w:numPr>
          <w:ilvl w:val="0"/>
          <w:numId w:val="7"/>
        </w:numPr>
        <w:divId w:val="491600524"/>
        <w:rPr>
          <w:rFonts w:eastAsia="Times New Roman"/>
        </w:rPr>
      </w:pPr>
      <w:r>
        <w:rPr>
          <w:rFonts w:eastAsia="Times New Roman"/>
        </w:rPr>
        <w:t>WARRANTIES</w:t>
      </w:r>
    </w:p>
    <w:p w14:paraId="5C50C4F4" w14:textId="77777777" w:rsidR="00CA5A9B" w:rsidRDefault="00CA5A9B">
      <w:pPr>
        <w:pStyle w:val="NormalWeb"/>
        <w:divId w:val="491600524"/>
      </w:pPr>
      <w:r>
        <w:t>7.1 Professional and workmanlike services; Deliverables conform to the SOW for ninety (90) days after acceptance.</w:t>
      </w:r>
    </w:p>
    <w:p w14:paraId="21A0A78C" w14:textId="77777777" w:rsidR="00CA5A9B" w:rsidRDefault="00CA5A9B">
      <w:pPr>
        <w:pStyle w:val="Heading2"/>
        <w:numPr>
          <w:ilvl w:val="0"/>
          <w:numId w:val="8"/>
        </w:numPr>
        <w:divId w:val="491600524"/>
        <w:rPr>
          <w:rFonts w:eastAsia="Times New Roman"/>
        </w:rPr>
      </w:pPr>
      <w:r>
        <w:rPr>
          <w:rFonts w:eastAsia="Times New Roman"/>
        </w:rPr>
        <w:t>INDEMNIFICATION</w:t>
      </w:r>
    </w:p>
    <w:p w14:paraId="2B4876B5" w14:textId="77777777" w:rsidR="00CA5A9B" w:rsidRDefault="00CA5A9B">
      <w:pPr>
        <w:pStyle w:val="NormalWeb"/>
        <w:divId w:val="491600524"/>
      </w:pPr>
      <w:r>
        <w:t>8.1 Each party shall indemnify the other against third-party claims to the extent caused by its breach of confidentiality, infringement of intellectual property, or gross negligence or willful misconduct.</w:t>
      </w:r>
    </w:p>
    <w:p w14:paraId="15FED739" w14:textId="77777777" w:rsidR="00CA5A9B" w:rsidRDefault="00CA5A9B">
      <w:pPr>
        <w:pStyle w:val="Heading2"/>
        <w:numPr>
          <w:ilvl w:val="0"/>
          <w:numId w:val="9"/>
        </w:numPr>
        <w:divId w:val="491600524"/>
        <w:rPr>
          <w:rFonts w:eastAsia="Times New Roman"/>
        </w:rPr>
      </w:pPr>
      <w:r>
        <w:rPr>
          <w:rFonts w:eastAsia="Times New Roman"/>
        </w:rPr>
        <w:t>LIMITATION OF LIABILITY</w:t>
      </w:r>
    </w:p>
    <w:p w14:paraId="6C935489" w14:textId="77777777" w:rsidR="00CA5A9B" w:rsidRDefault="00CA5A9B">
      <w:pPr>
        <w:pStyle w:val="NormalWeb"/>
        <w:divId w:val="491600524"/>
      </w:pPr>
      <w:r>
        <w:t>9.1 Neither party is liable for indirect, consequential or punitive damages.</w:t>
      </w:r>
    </w:p>
    <w:p w14:paraId="6B1EF9C3" w14:textId="77777777" w:rsidR="00CA5A9B" w:rsidRDefault="00CA5A9B">
      <w:pPr>
        <w:pStyle w:val="NormalWeb"/>
        <w:divId w:val="491600524"/>
      </w:pPr>
      <w:r>
        <w:t>9.2 Each party's aggregate liability is capped at the fees paid or payable under the applicable SOW in the twelve (12) months preceding the claim, except for indemnification obligations and breach of Section 5.</w:t>
      </w:r>
    </w:p>
    <w:p w14:paraId="1E60A08F" w14:textId="77777777" w:rsidR="00CA5A9B" w:rsidRDefault="00CA5A9B">
      <w:pPr>
        <w:pStyle w:val="Heading2"/>
        <w:numPr>
          <w:ilvl w:val="0"/>
          <w:numId w:val="10"/>
        </w:numPr>
        <w:divId w:val="491600524"/>
        <w:rPr>
          <w:rFonts w:eastAsia="Times New Roman"/>
        </w:rPr>
      </w:pPr>
      <w:r>
        <w:rPr>
          <w:rFonts w:eastAsia="Times New Roman"/>
        </w:rPr>
        <w:t>DELAY</w:t>
      </w:r>
    </w:p>
    <w:p w14:paraId="7BFC4505" w14:textId="77777777" w:rsidR="00CA5A9B" w:rsidRDefault="00CA5A9B">
      <w:pPr>
        <w:pStyle w:val="NormalWeb"/>
        <w:divId w:val="491600524"/>
      </w:pPr>
      <w:r>
        <w:t>10.1 Liquidated damages of 0.5% of the affected milestone fee per week of Provider-caused delay, capped at 5% of that milestone fee; not applicable to delays caused by Greystone or force majeure.</w:t>
      </w:r>
    </w:p>
    <w:p w14:paraId="17F0BE11" w14:textId="77777777" w:rsidR="00CA5A9B" w:rsidRDefault="00CA5A9B">
      <w:pPr>
        <w:pStyle w:val="Heading2"/>
        <w:numPr>
          <w:ilvl w:val="0"/>
          <w:numId w:val="11"/>
        </w:numPr>
        <w:divId w:val="491600524"/>
        <w:rPr>
          <w:rFonts w:eastAsia="Times New Roman"/>
        </w:rPr>
      </w:pPr>
      <w:r>
        <w:rPr>
          <w:rFonts w:eastAsia="Times New Roman"/>
        </w:rPr>
        <w:t>DATA SECURITY</w:t>
      </w:r>
    </w:p>
    <w:p w14:paraId="09B83F5C" w14:textId="77777777" w:rsidR="00CA5A9B" w:rsidRDefault="00CA5A9B">
      <w:pPr>
        <w:pStyle w:val="NormalWeb"/>
        <w:divId w:val="491600524"/>
      </w:pPr>
      <w:r>
        <w:t>11.1 Provider shall comply with the Gramm-Leach-Bliley Act Safeguards Rule as applicable to service providers and with Greystone's security schedule; notify security incidents within seventy-two (72) hours.</w:t>
      </w:r>
    </w:p>
    <w:p w14:paraId="7C637433" w14:textId="77777777" w:rsidR="00CA5A9B" w:rsidRDefault="00CA5A9B">
      <w:pPr>
        <w:pStyle w:val="Heading2"/>
        <w:numPr>
          <w:ilvl w:val="0"/>
          <w:numId w:val="12"/>
        </w:numPr>
        <w:divId w:val="491600524"/>
        <w:rPr>
          <w:rFonts w:eastAsia="Times New Roman"/>
        </w:rPr>
      </w:pPr>
      <w:r>
        <w:rPr>
          <w:rFonts w:eastAsia="Times New Roman"/>
        </w:rPr>
        <w:t>GENERAL</w:t>
      </w:r>
    </w:p>
    <w:p w14:paraId="0E6DC92F" w14:textId="77777777" w:rsidR="00CA5A9B" w:rsidRDefault="00CA5A9B">
      <w:pPr>
        <w:pStyle w:val="NormalWeb"/>
        <w:divId w:val="491600524"/>
      </w:pPr>
      <w:r>
        <w:t xml:space="preserve">12.1 </w:t>
      </w:r>
      <w:r>
        <w:rPr>
          <w:b/>
          <w:bCs/>
        </w:rPr>
        <w:t>Governing law.</w:t>
      </w:r>
      <w:r>
        <w:t xml:space="preserve"> Laws of the State of Delaware. Exclusive venue: state and federal courts in Wilmington, Delaware.</w:t>
      </w:r>
    </w:p>
    <w:p w14:paraId="24CBBEE8" w14:textId="77777777" w:rsidR="00CA5A9B" w:rsidRDefault="00CA5A9B">
      <w:pPr>
        <w:pStyle w:val="NormalWeb"/>
        <w:divId w:val="491600524"/>
      </w:pPr>
      <w:r>
        <w:t xml:space="preserve">12.2 </w:t>
      </w:r>
      <w:r>
        <w:rPr>
          <w:b/>
          <w:bCs/>
        </w:rPr>
        <w:t>Insurance.</w:t>
      </w:r>
      <w:r>
        <w:t xml:space="preserve"> Provider shall maintain professional liability and cyber liability insurance of $1,000,000 each.</w:t>
      </w:r>
    </w:p>
    <w:p w14:paraId="376791EA" w14:textId="77777777" w:rsidR="00CA5A9B" w:rsidRDefault="00CA5A9B">
      <w:pPr>
        <w:pStyle w:val="NormalWeb"/>
        <w:divId w:val="491600524"/>
      </w:pPr>
      <w:r>
        <w:t xml:space="preserve">12.3 </w:t>
      </w:r>
      <w:r>
        <w:rPr>
          <w:b/>
          <w:bCs/>
        </w:rPr>
        <w:t>Non-solicitation.</w:t>
      </w:r>
      <w:r>
        <w:t xml:space="preserve"> </w:t>
      </w:r>
      <w:r>
        <w:t>Mutual, twelve (12) months, employees engaged in the Services.</w:t>
      </w:r>
    </w:p>
    <w:p w14:paraId="1B558A5D" w14:textId="77777777" w:rsidR="00CA5A9B" w:rsidRDefault="00CA5A9B">
      <w:pPr>
        <w:pStyle w:val="NormalWeb"/>
        <w:divId w:val="491600524"/>
      </w:pPr>
      <w:r>
        <w:t xml:space="preserve">12.4 </w:t>
      </w:r>
      <w:r>
        <w:rPr>
          <w:b/>
          <w:bCs/>
        </w:rPr>
        <w:t>Assignment.</w:t>
      </w:r>
      <w:r>
        <w:t xml:space="preserve"> Neither party may assign without consent, except to a successor by merger.</w:t>
      </w:r>
    </w:p>
    <w:p w14:paraId="3BA9C8C8" w14:textId="77777777" w:rsidR="00CA5A9B" w:rsidRDefault="00CA5A9B">
      <w:pPr>
        <w:pStyle w:val="Heading2"/>
        <w:divId w:val="491600524"/>
        <w:rPr>
          <w:rFonts w:eastAsia="Times New Roman"/>
        </w:rPr>
      </w:pPr>
      <w:r>
        <w:rPr>
          <w:rFonts w:eastAsia="Times New Roman"/>
        </w:rPr>
        <w:t>EXHIBIT A — SOW-1 MILESTONES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051"/>
        <w:gridCol w:w="3082"/>
        <w:gridCol w:w="1131"/>
      </w:tblGrid>
      <w:tr w:rsidR="00000000" w14:paraId="6DB3D9BD" w14:textId="77777777">
        <w:trPr>
          <w:divId w:val="49160052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8886EE" w14:textId="77777777" w:rsidR="00CA5A9B" w:rsidRDefault="00CA5A9B">
            <w:pPr>
              <w:rPr>
                <w:rFonts w:eastAsia="Times New Roman"/>
                <w:sz w:val="22"/>
                <w:szCs w:val="22"/>
              </w:rPr>
            </w:pPr>
            <w:r>
              <w:rPr>
                <w:rFonts w:eastAsia="Times New Roman"/>
                <w:sz w:val="22"/>
                <w:szCs w:val="22"/>
              </w:rPr>
              <w:lastRenderedPageBreak/>
              <w:t>Milestone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D5657" w14:textId="77777777" w:rsidR="00CA5A9B" w:rsidRDefault="00CA5A9B">
            <w:pPr>
              <w:rPr>
                <w:rFonts w:eastAsia="Times New Roman"/>
                <w:sz w:val="22"/>
                <w:szCs w:val="22"/>
              </w:rPr>
            </w:pPr>
            <w:r>
              <w:rPr>
                <w:rFonts w:eastAsia="Times New Roman"/>
                <w:sz w:val="22"/>
                <w:szCs w:val="22"/>
              </w:rPr>
              <w:t>Deliverable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62770" w14:textId="77777777" w:rsidR="00CA5A9B" w:rsidRDefault="00CA5A9B">
            <w:pPr>
              <w:rPr>
                <w:rFonts w:eastAsia="Times New Roman"/>
                <w:sz w:val="22"/>
                <w:szCs w:val="22"/>
              </w:rPr>
            </w:pPr>
            <w:r>
              <w:rPr>
                <w:rFonts w:eastAsia="Times New Roman"/>
                <w:sz w:val="22"/>
                <w:szCs w:val="22"/>
              </w:rPr>
              <w:t>Fee (USD)</w:t>
            </w:r>
          </w:p>
        </w:tc>
      </w:tr>
      <w:tr w:rsidR="00000000" w14:paraId="5178965B" w14:textId="77777777">
        <w:trPr>
          <w:divId w:val="49160052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B510C9" w14:textId="77777777" w:rsidR="00CA5A9B" w:rsidRDefault="00CA5A9B">
            <w:pPr>
              <w:rPr>
                <w:rFonts w:eastAsia="Times New Roman"/>
                <w:sz w:val="22"/>
                <w:szCs w:val="22"/>
              </w:rPr>
            </w:pPr>
            <w:r>
              <w:rPr>
                <w:rFonts w:eastAsia="Times New Roman"/>
                <w:sz w:val="22"/>
                <w:szCs w:val="22"/>
              </w:rPr>
              <w:t>M1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1C2DD" w14:textId="77777777" w:rsidR="00CA5A9B" w:rsidRDefault="00CA5A9B">
            <w:pPr>
              <w:rPr>
                <w:rFonts w:eastAsia="Times New Roman"/>
                <w:sz w:val="22"/>
                <w:szCs w:val="22"/>
              </w:rPr>
            </w:pPr>
            <w:r>
              <w:rPr>
                <w:rFonts w:eastAsia="Times New Roman"/>
                <w:sz w:val="22"/>
                <w:szCs w:val="22"/>
              </w:rPr>
              <w:t>Discovery and data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D7BF1" w14:textId="77777777" w:rsidR="00CA5A9B" w:rsidRDefault="00CA5A9B">
            <w:pPr>
              <w:rPr>
                <w:rFonts w:eastAsia="Times New Roman"/>
                <w:sz w:val="22"/>
                <w:szCs w:val="22"/>
              </w:rPr>
            </w:pPr>
            <w:r>
              <w:rPr>
                <w:rFonts w:eastAsia="Times New Roman"/>
                <w:sz w:val="22"/>
                <w:szCs w:val="22"/>
              </w:rPr>
              <w:t>12,900</w:t>
            </w:r>
          </w:p>
        </w:tc>
      </w:tr>
      <w:tr w:rsidR="00000000" w14:paraId="02D25961" w14:textId="77777777">
        <w:trPr>
          <w:divId w:val="49160052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2CF7AE" w14:textId="77777777" w:rsidR="00CA5A9B" w:rsidRDefault="00CA5A9B">
            <w:pPr>
              <w:rPr>
                <w:rFonts w:eastAsia="Times New Roman"/>
                <w:sz w:val="22"/>
                <w:szCs w:val="22"/>
              </w:rPr>
            </w:pPr>
            <w:r>
              <w:rPr>
                <w:rFonts w:eastAsia="Times New Roman"/>
                <w:sz w:val="22"/>
                <w:szCs w:val="22"/>
              </w:rPr>
              <w:t>M2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680CA" w14:textId="77777777" w:rsidR="00CA5A9B" w:rsidRDefault="00CA5A9B">
            <w:pPr>
              <w:rPr>
                <w:rFonts w:eastAsia="Times New Roman"/>
                <w:sz w:val="22"/>
                <w:szCs w:val="22"/>
              </w:rPr>
            </w:pPr>
            <w:r>
              <w:rPr>
                <w:rFonts w:eastAsia="Times New Roman"/>
                <w:sz w:val="22"/>
                <w:szCs w:val="22"/>
              </w:rPr>
              <w:t>ClaimCenter ingestion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79029" w14:textId="77777777" w:rsidR="00CA5A9B" w:rsidRDefault="00CA5A9B">
            <w:pPr>
              <w:rPr>
                <w:rFonts w:eastAsia="Times New Roman"/>
                <w:sz w:val="22"/>
                <w:szCs w:val="22"/>
              </w:rPr>
            </w:pPr>
            <w:r>
              <w:rPr>
                <w:rFonts w:eastAsia="Times New Roman"/>
                <w:sz w:val="22"/>
                <w:szCs w:val="22"/>
              </w:rPr>
              <w:t>25,800</w:t>
            </w:r>
          </w:p>
        </w:tc>
      </w:tr>
      <w:tr w:rsidR="00000000" w14:paraId="11DE28E1" w14:textId="77777777">
        <w:trPr>
          <w:divId w:val="49160052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BB819A" w14:textId="77777777" w:rsidR="00CA5A9B" w:rsidRDefault="00CA5A9B">
            <w:pPr>
              <w:rPr>
                <w:rFonts w:eastAsia="Times New Roman"/>
                <w:sz w:val="22"/>
                <w:szCs w:val="22"/>
              </w:rPr>
            </w:pPr>
            <w:r>
              <w:rPr>
                <w:rFonts w:eastAsia="Times New Roman"/>
                <w:sz w:val="22"/>
                <w:szCs w:val="22"/>
              </w:rPr>
              <w:t>M3</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7E6F5" w14:textId="77777777" w:rsidR="00CA5A9B" w:rsidRDefault="00CA5A9B">
            <w:pPr>
              <w:rPr>
                <w:rFonts w:eastAsia="Times New Roman"/>
                <w:sz w:val="22"/>
                <w:szCs w:val="22"/>
              </w:rPr>
            </w:pPr>
            <w:r>
              <w:rPr>
                <w:rFonts w:eastAsia="Times New Roman"/>
                <w:sz w:val="22"/>
                <w:szCs w:val="22"/>
              </w:rPr>
              <w:t>Triage and fraud-indicator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43912" w14:textId="77777777" w:rsidR="00CA5A9B" w:rsidRDefault="00CA5A9B">
            <w:pPr>
              <w:rPr>
                <w:rFonts w:eastAsia="Times New Roman"/>
                <w:sz w:val="22"/>
                <w:szCs w:val="22"/>
              </w:rPr>
            </w:pPr>
            <w:r>
              <w:rPr>
                <w:rFonts w:eastAsia="Times New Roman"/>
                <w:sz w:val="22"/>
                <w:szCs w:val="22"/>
              </w:rPr>
              <w:t>30,100</w:t>
            </w:r>
          </w:p>
        </w:tc>
      </w:tr>
      <w:tr w:rsidR="00000000" w14:paraId="20429C3B" w14:textId="77777777">
        <w:trPr>
          <w:divId w:val="49160052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D30234" w14:textId="77777777" w:rsidR="00CA5A9B" w:rsidRDefault="00CA5A9B">
            <w:pPr>
              <w:rPr>
                <w:rFonts w:eastAsia="Times New Roman"/>
                <w:sz w:val="22"/>
                <w:szCs w:val="22"/>
              </w:rPr>
            </w:pPr>
            <w:r>
              <w:rPr>
                <w:rFonts w:eastAsia="Times New Roman"/>
                <w:sz w:val="22"/>
                <w:szCs w:val="22"/>
              </w:rPr>
              <w:t>M4</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83CCA" w14:textId="77777777" w:rsidR="00CA5A9B" w:rsidRDefault="00CA5A9B">
            <w:pPr>
              <w:rPr>
                <w:rFonts w:eastAsia="Times New Roman"/>
                <w:sz w:val="22"/>
                <w:szCs w:val="22"/>
              </w:rPr>
            </w:pPr>
            <w:r>
              <w:rPr>
                <w:rFonts w:eastAsia="Times New Roman"/>
                <w:sz w:val="22"/>
                <w:szCs w:val="22"/>
              </w:rPr>
              <w:t>Dashboards, handover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0D832" w14:textId="77777777" w:rsidR="00CA5A9B" w:rsidRDefault="00CA5A9B">
            <w:pPr>
              <w:rPr>
                <w:rFonts w:eastAsia="Times New Roman"/>
                <w:sz w:val="22"/>
                <w:szCs w:val="22"/>
              </w:rPr>
            </w:pPr>
            <w:r>
              <w:rPr>
                <w:rFonts w:eastAsia="Times New Roman"/>
                <w:sz w:val="22"/>
                <w:szCs w:val="22"/>
              </w:rPr>
              <w:t>17,200</w:t>
            </w:r>
          </w:p>
        </w:tc>
      </w:tr>
      <w:tr w:rsidR="00000000" w14:paraId="0D0B328B" w14:textId="77777777">
        <w:trPr>
          <w:divId w:val="49160052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704166" w14:textId="77777777" w:rsidR="00CA5A9B" w:rsidRDefault="00CA5A9B">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B89C837" w14:textId="77777777" w:rsidR="00CA5A9B" w:rsidRDefault="00CA5A9B">
            <w:pPr>
              <w:rPr>
                <w:rFonts w:eastAsia="Times New Roman"/>
                <w:sz w:val="22"/>
                <w:szCs w:val="22"/>
              </w:rPr>
            </w:pPr>
            <w:r>
              <w:rPr>
                <w:rFonts w:eastAsia="Times New Roman"/>
                <w:b/>
                <w:bCs/>
                <w:sz w:val="22"/>
                <w:szCs w:val="22"/>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29782" w14:textId="77777777" w:rsidR="00CA5A9B" w:rsidRDefault="00CA5A9B">
            <w:pPr>
              <w:rPr>
                <w:rFonts w:eastAsia="Times New Roman"/>
                <w:sz w:val="22"/>
                <w:szCs w:val="22"/>
              </w:rPr>
            </w:pPr>
            <w:r>
              <w:rPr>
                <w:rFonts w:eastAsia="Times New Roman"/>
                <w:b/>
                <w:bCs/>
                <w:sz w:val="22"/>
                <w:szCs w:val="22"/>
              </w:rPr>
              <w:t>86,000</w:t>
            </w:r>
          </w:p>
        </w:tc>
      </w:tr>
    </w:tbl>
    <w:p w14:paraId="019EA996" w14:textId="77777777" w:rsidR="00CA5A9B" w:rsidRDefault="00CA5A9B">
      <w:pPr>
        <w:pStyle w:val="Heading2"/>
        <w:divId w:val="491600524"/>
        <w:rPr>
          <w:rFonts w:eastAsia="Times New Roman"/>
        </w:rPr>
      </w:pPr>
      <w:r>
        <w:rPr>
          <w:rFonts w:eastAsia="Times New Roman"/>
        </w:rPr>
        <w:t>SIGNATURES</w:t>
      </w:r>
    </w:p>
    <w:p w14:paraId="3EDC7D9D" w14:textId="77777777" w:rsidR="00CA5A9B" w:rsidRDefault="00CA5A9B">
      <w:pPr>
        <w:pStyle w:val="NormalWeb"/>
        <w:divId w:val="491600524"/>
      </w:pPr>
      <w:r>
        <w:rPr>
          <w:b/>
          <w:bCs/>
        </w:rPr>
        <w:t>GREYSTONE CLAIMS SOLUTIONS, INC.</w:t>
      </w:r>
    </w:p>
    <w:p w14:paraId="2BCBCAA0" w14:textId="77777777" w:rsidR="00CA5A9B" w:rsidRDefault="00CA5A9B">
      <w:pPr>
        <w:pStyle w:val="NormalWeb"/>
        <w:divId w:val="491600524"/>
      </w:pPr>
      <w:r>
        <w:t>By: ________________ Name: Rachel Donovan Title: Chief Operating Officer Date: ______</w:t>
      </w:r>
    </w:p>
    <w:p w14:paraId="44293238" w14:textId="77777777" w:rsidR="00CA5A9B" w:rsidRDefault="00CA5A9B">
      <w:pPr>
        <w:pStyle w:val="NormalWeb"/>
        <w:divId w:val="491600524"/>
      </w:pPr>
      <w:r>
        <w:rPr>
          <w:b/>
          <w:bCs/>
        </w:rPr>
        <w:t>ATLIQ INC</w:t>
      </w:r>
    </w:p>
    <w:p w14:paraId="7B785CDE" w14:textId="77777777" w:rsidR="00CA5A9B" w:rsidRDefault="00CA5A9B">
      <w:pPr>
        <w:pStyle w:val="NormalWeb"/>
        <w:divId w:val="491600524"/>
      </w:pPr>
      <w:r>
        <w:t>By: ________________ Name: ________________ Title: ________________ Date: ______</w:t>
      </w:r>
    </w:p>
    <w:sectPr w:rsidR="00CA5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7F80"/>
    <w:multiLevelType w:val="multilevel"/>
    <w:tmpl w:val="38E633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11E86"/>
    <w:multiLevelType w:val="multilevel"/>
    <w:tmpl w:val="16C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460EC"/>
    <w:multiLevelType w:val="multilevel"/>
    <w:tmpl w:val="254AF3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F6902"/>
    <w:multiLevelType w:val="multilevel"/>
    <w:tmpl w:val="6EE003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062F9"/>
    <w:multiLevelType w:val="multilevel"/>
    <w:tmpl w:val="79F410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B52301"/>
    <w:multiLevelType w:val="multilevel"/>
    <w:tmpl w:val="4CB072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B413C1"/>
    <w:multiLevelType w:val="multilevel"/>
    <w:tmpl w:val="F75060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18702F"/>
    <w:multiLevelType w:val="multilevel"/>
    <w:tmpl w:val="31CE04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FB1260"/>
    <w:multiLevelType w:val="multilevel"/>
    <w:tmpl w:val="2AD0FC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0B7A47"/>
    <w:multiLevelType w:val="multilevel"/>
    <w:tmpl w:val="7C94D4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03FCA"/>
    <w:multiLevelType w:val="multilevel"/>
    <w:tmpl w:val="B5D668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825C6E"/>
    <w:multiLevelType w:val="multilevel"/>
    <w:tmpl w:val="69D461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738452">
    <w:abstractNumId w:val="1"/>
  </w:num>
  <w:num w:numId="2" w16cid:durableId="1011756923">
    <w:abstractNumId w:val="8"/>
  </w:num>
  <w:num w:numId="3" w16cid:durableId="119878983">
    <w:abstractNumId w:val="5"/>
  </w:num>
  <w:num w:numId="4" w16cid:durableId="1881087507">
    <w:abstractNumId w:val="2"/>
  </w:num>
  <w:num w:numId="5" w16cid:durableId="806581438">
    <w:abstractNumId w:val="11"/>
  </w:num>
  <w:num w:numId="6" w16cid:durableId="1530140700">
    <w:abstractNumId w:val="9"/>
  </w:num>
  <w:num w:numId="7" w16cid:durableId="778138116">
    <w:abstractNumId w:val="4"/>
  </w:num>
  <w:num w:numId="8" w16cid:durableId="724185354">
    <w:abstractNumId w:val="7"/>
  </w:num>
  <w:num w:numId="9" w16cid:durableId="518157033">
    <w:abstractNumId w:val="0"/>
  </w:num>
  <w:num w:numId="10" w16cid:durableId="1124227403">
    <w:abstractNumId w:val="3"/>
  </w:num>
  <w:num w:numId="11" w16cid:durableId="301423470">
    <w:abstractNumId w:val="10"/>
  </w:num>
  <w:num w:numId="12" w16cid:durableId="2110197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051E"/>
    <w:rsid w:val="007A01C4"/>
    <w:rsid w:val="00CA5A9B"/>
    <w:rsid w:val="00E00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CC4C1"/>
  <w15:chartTrackingRefBased/>
  <w15:docId w15:val="{9534C46C-00BA-41C1-BDA4-0512A9CB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0"/>
      <w:szCs w:val="30"/>
    </w:rPr>
  </w:style>
  <w:style w:type="paragraph" w:styleId="Heading2">
    <w:name w:val="heading 2"/>
    <w:basedOn w:val="Normal"/>
    <w:link w:val="Heading2Char"/>
    <w:uiPriority w:val="9"/>
    <w:qFormat/>
    <w:pPr>
      <w:spacing w:before="288" w:after="100" w:afterAutospacing="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600524">
      <w:bodyDiv w:val="1"/>
      <w:marLeft w:val="0"/>
      <w:marRight w:val="0"/>
      <w:marTop w:val="720"/>
      <w:marBottom w:val="7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Vadali</dc:creator>
  <cp:keywords/>
  <dc:description/>
  <cp:lastModifiedBy>Vaibhavi Vadali</cp:lastModifiedBy>
  <cp:revision>2</cp:revision>
  <dcterms:created xsi:type="dcterms:W3CDTF">2026-10-13T17:22:00Z</dcterms:created>
  <dcterms:modified xsi:type="dcterms:W3CDTF">2026-10-13T17:22:00Z</dcterms:modified>
</cp:coreProperties>
</file>