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5C2A" w14:textId="77777777" w:rsidR="009F6A1C" w:rsidRDefault="009F6A1C">
      <w:pPr>
        <w:pStyle w:val="Heading1"/>
        <w:jc w:val="center"/>
        <w:divId w:val="356850243"/>
        <w:rPr>
          <w:rFonts w:eastAsia="Times New Roman"/>
        </w:rPr>
      </w:pPr>
      <w:r>
        <w:rPr>
          <w:rFonts w:eastAsia="Times New Roman"/>
        </w:rPr>
        <w:t>MASTER SERVICES AGREEMENT</w:t>
      </w:r>
    </w:p>
    <w:p w14:paraId="062CA867" w14:textId="77777777" w:rsidR="009F6A1C" w:rsidRDefault="009F6A1C">
      <w:pPr>
        <w:pStyle w:val="NormalWeb"/>
        <w:divId w:val="356850243"/>
      </w:pPr>
      <w:r>
        <w:t>This Master Services Agreement ("</w:t>
      </w:r>
      <w:r>
        <w:rPr>
          <w:b/>
          <w:bCs/>
        </w:rPr>
        <w:t>Agreement</w:t>
      </w:r>
      <w:r>
        <w:t>") is made at Hyderabad on ____ day of __________ 2026</w:t>
      </w:r>
    </w:p>
    <w:p w14:paraId="7A453588" w14:textId="77777777" w:rsidR="009F6A1C" w:rsidRDefault="009F6A1C">
      <w:pPr>
        <w:pStyle w:val="NormalWeb"/>
        <w:divId w:val="356850243"/>
      </w:pPr>
      <w:r>
        <w:rPr>
          <w:b/>
          <w:bCs/>
        </w:rPr>
        <w:t>BETWEEN</w:t>
      </w:r>
    </w:p>
    <w:p w14:paraId="4C239280" w14:textId="77777777" w:rsidR="009F6A1C" w:rsidRDefault="009F6A1C">
      <w:pPr>
        <w:pStyle w:val="NormalWeb"/>
        <w:divId w:val="356850243"/>
      </w:pPr>
      <w:r>
        <w:rPr>
          <w:b/>
          <w:bCs/>
        </w:rPr>
        <w:t>PILLARSTONE PHARMA LOGISTICS PRIVATE LIMITED</w:t>
      </w:r>
      <w:r>
        <w:t>, a company incorporated under the Companies Act, 2013, having its registered office at Survey No. 64, Pharma City Road, Shamshabad, Hyderabad 501218, Telangana, India (the "</w:t>
      </w:r>
      <w:r>
        <w:rPr>
          <w:b/>
          <w:bCs/>
        </w:rPr>
        <w:t>Company</w:t>
      </w:r>
      <w:r>
        <w:t>");</w:t>
      </w:r>
    </w:p>
    <w:p w14:paraId="0BB80827" w14:textId="77777777" w:rsidR="009F6A1C" w:rsidRDefault="009F6A1C">
      <w:pPr>
        <w:pStyle w:val="NormalWeb"/>
        <w:divId w:val="356850243"/>
      </w:pPr>
      <w:r>
        <w:rPr>
          <w:b/>
          <w:bCs/>
        </w:rPr>
        <w:t>AND</w:t>
      </w:r>
    </w:p>
    <w:p w14:paraId="2E1D76DE" w14:textId="77777777" w:rsidR="009F6A1C" w:rsidRDefault="009F6A1C">
      <w:pPr>
        <w:pStyle w:val="NormalWeb"/>
        <w:divId w:val="356850243"/>
      </w:pPr>
      <w:r>
        <w:rPr>
          <w:b/>
          <w:bCs/>
        </w:rPr>
        <w:t>ATLIQ TECHNOLOGIES PRIVATE LIMITED</w:t>
      </w:r>
      <w:r>
        <w:t>, a company incorporated under the Companies Act, 2013 (CIN U72900MH2019PTC321456), having its registered office at 4th Floor, Baner Business Bay, Pune 411045, Maharashtra, India (the "</w:t>
      </w:r>
      <w:r>
        <w:rPr>
          <w:b/>
          <w:bCs/>
        </w:rPr>
        <w:t>Vendor</w:t>
      </w:r>
      <w:r>
        <w:t>").</w:t>
      </w:r>
    </w:p>
    <w:p w14:paraId="3B65ED0E" w14:textId="77777777" w:rsidR="009F6A1C" w:rsidRDefault="009F6A1C">
      <w:pPr>
        <w:pStyle w:val="Heading2"/>
        <w:divId w:val="356850243"/>
        <w:rPr>
          <w:rFonts w:eastAsia="Times New Roman"/>
        </w:rPr>
      </w:pPr>
      <w:r>
        <w:rPr>
          <w:rFonts w:eastAsia="Times New Roman"/>
        </w:rPr>
        <w:t>RECITALS</w:t>
      </w:r>
    </w:p>
    <w:p w14:paraId="5043F3B9" w14:textId="77777777" w:rsidR="009F6A1C" w:rsidRDefault="009F6A1C">
      <w:pPr>
        <w:pStyle w:val="NormalWeb"/>
        <w:divId w:val="356850243"/>
      </w:pPr>
      <w:r>
        <w:t>A. The Company is a carrying-and-forwarding agent and super-stockist for pharmaceutical manufacturers, operating 11 temperature-controlled depots across Telangana, Andhra Pradesh and Karnataka and supplying approximately 3,800 chemists and hospitals.</w:t>
      </w:r>
    </w:p>
    <w:p w14:paraId="59E9DE8A" w14:textId="77777777" w:rsidR="009F6A1C" w:rsidRDefault="009F6A1C">
      <w:pPr>
        <w:pStyle w:val="NormalWeb"/>
        <w:divId w:val="356850243"/>
      </w:pPr>
      <w:r>
        <w:t>B. The Company wishes to engage the Vendor to build a demand forecasting and depot replenishment platform.</w:t>
      </w:r>
    </w:p>
    <w:p w14:paraId="7C0B4845" w14:textId="77777777" w:rsidR="009F6A1C" w:rsidRDefault="009F6A1C">
      <w:pPr>
        <w:pStyle w:val="Heading2"/>
        <w:divId w:val="356850243"/>
        <w:rPr>
          <w:rFonts w:eastAsia="Times New Roman"/>
        </w:rPr>
      </w:pPr>
      <w:r>
        <w:rPr>
          <w:rFonts w:eastAsia="Times New Roman"/>
        </w:rPr>
        <w:t>1. SCOPE</w:t>
      </w:r>
    </w:p>
    <w:p w14:paraId="57E06DBC" w14:textId="77777777" w:rsidR="009F6A1C" w:rsidRDefault="009F6A1C">
      <w:pPr>
        <w:pStyle w:val="NormalWeb"/>
        <w:divId w:val="356850243"/>
      </w:pPr>
      <w:r>
        <w:t>1.1 The Vendor shall deliver:</w:t>
      </w:r>
    </w:p>
    <w:p w14:paraId="57DEAA13" w14:textId="77777777" w:rsidR="009F6A1C" w:rsidRDefault="009F6A1C">
      <w:pPr>
        <w:pStyle w:val="NormalWeb"/>
        <w:ind w:left="480"/>
        <w:divId w:val="356850243"/>
      </w:pPr>
      <w:r>
        <w:t>(a) a SKU-level demand forecasting engine (approx. 1,900 SKUs, weekly granularity, 13-week horizon);</w:t>
      </w:r>
    </w:p>
    <w:p w14:paraId="142F8082" w14:textId="77777777" w:rsidR="009F6A1C" w:rsidRDefault="009F6A1C">
      <w:pPr>
        <w:pStyle w:val="NormalWeb"/>
        <w:ind w:left="480"/>
        <w:divId w:val="356850243"/>
      </w:pPr>
      <w:r>
        <w:t>(b) depot-level replenishment and expiry-risk recommendations;</w:t>
      </w:r>
    </w:p>
    <w:p w14:paraId="7D61BA63" w14:textId="77777777" w:rsidR="009F6A1C" w:rsidRDefault="009F6A1C">
      <w:pPr>
        <w:pStyle w:val="NormalWeb"/>
        <w:ind w:left="480"/>
        <w:divId w:val="356850243"/>
      </w:pPr>
      <w:r>
        <w:t>(c) secondary-sales and chemist-level analytics dashboards in Power BI; and</w:t>
      </w:r>
    </w:p>
    <w:p w14:paraId="29386CE4" w14:textId="77777777" w:rsidR="009F6A1C" w:rsidRDefault="009F6A1C">
      <w:pPr>
        <w:pStyle w:val="NormalWeb"/>
        <w:ind w:left="480"/>
        <w:divId w:val="356850243"/>
      </w:pPr>
      <w:r>
        <w:t>(d) integration with the Company's Marg ERP and the manufacturers' DMS feeds.</w:t>
      </w:r>
    </w:p>
    <w:p w14:paraId="74B6234B" w14:textId="77777777" w:rsidR="009F6A1C" w:rsidRDefault="009F6A1C">
      <w:pPr>
        <w:pStyle w:val="NormalWeb"/>
        <w:divId w:val="356850243"/>
      </w:pPr>
      <w:r>
        <w:t>1.2 The Vendor represents that it has prior experience delivering demand forecasting for pharmaceutical distribution in India, and may draw on such experience and pre-built components to accelerate delivery.</w:t>
      </w:r>
    </w:p>
    <w:p w14:paraId="0A74E47E" w14:textId="77777777" w:rsidR="009F6A1C" w:rsidRDefault="009F6A1C">
      <w:pPr>
        <w:pStyle w:val="Heading2"/>
        <w:divId w:val="356850243"/>
        <w:rPr>
          <w:rFonts w:eastAsia="Times New Roman"/>
        </w:rPr>
      </w:pPr>
      <w:r>
        <w:rPr>
          <w:rFonts w:eastAsia="Times New Roman"/>
        </w:rPr>
        <w:t>2. FEES AND PAYMENT</w:t>
      </w:r>
    </w:p>
    <w:p w14:paraId="416E6D25" w14:textId="77777777" w:rsidR="009F6A1C" w:rsidRDefault="009F6A1C">
      <w:pPr>
        <w:pStyle w:val="NormalWeb"/>
        <w:divId w:val="356850243"/>
      </w:pPr>
      <w:r>
        <w:t xml:space="preserve">2.1 Total fees: </w:t>
      </w:r>
      <w:r>
        <w:rPr>
          <w:b/>
          <w:bCs/>
        </w:rPr>
        <w:t>INR 65,00,000</w:t>
      </w:r>
      <w:r>
        <w:t xml:space="preserve"> (approx. </w:t>
      </w:r>
      <w:r>
        <w:rPr>
          <w:b/>
          <w:bCs/>
        </w:rPr>
        <w:t>USD 78,000</w:t>
      </w:r>
      <w:r>
        <w:t>), plus GST, payable per Schedule A.</w:t>
      </w:r>
    </w:p>
    <w:p w14:paraId="445E0732" w14:textId="77777777" w:rsidR="009F6A1C" w:rsidRDefault="009F6A1C">
      <w:pPr>
        <w:pStyle w:val="NormalWeb"/>
        <w:divId w:val="356850243"/>
      </w:pPr>
      <w:r>
        <w:lastRenderedPageBreak/>
        <w:t xml:space="preserve">2.2 The Company shall pay undisputed invoices within </w:t>
      </w:r>
      <w:r>
        <w:rPr>
          <w:b/>
          <w:bCs/>
        </w:rPr>
        <w:t>sixty (60) days</w:t>
      </w:r>
      <w:r>
        <w:t xml:space="preserve"> of receipt.</w:t>
      </w:r>
    </w:p>
    <w:p w14:paraId="6646F270" w14:textId="77777777" w:rsidR="009F6A1C" w:rsidRDefault="009F6A1C">
      <w:pPr>
        <w:pStyle w:val="Heading2"/>
        <w:divId w:val="356850243"/>
        <w:rPr>
          <w:rFonts w:eastAsia="Times New Roman"/>
        </w:rPr>
      </w:pPr>
      <w:r>
        <w:rPr>
          <w:rFonts w:eastAsia="Times New Roman"/>
        </w:rPr>
        <w:t>3. TERM</w:t>
      </w:r>
    </w:p>
    <w:p w14:paraId="4ACF9465" w14:textId="77777777" w:rsidR="009F6A1C" w:rsidRDefault="009F6A1C">
      <w:pPr>
        <w:pStyle w:val="NormalWeb"/>
        <w:divId w:val="356850243"/>
      </w:pPr>
      <w:r>
        <w:t>3.1 This Agreement commences on signature and continues for two (2) years.</w:t>
      </w:r>
    </w:p>
    <w:p w14:paraId="187CBB23" w14:textId="77777777" w:rsidR="009F6A1C" w:rsidRDefault="009F6A1C">
      <w:pPr>
        <w:pStyle w:val="Heading2"/>
        <w:divId w:val="356850243"/>
        <w:rPr>
          <w:rFonts w:eastAsia="Times New Roman"/>
        </w:rPr>
      </w:pPr>
      <w:r>
        <w:rPr>
          <w:rFonts w:eastAsia="Times New Roman"/>
        </w:rPr>
        <w:t>4. TIMELINES AND LIQUIDATED DAMAGES</w:t>
      </w:r>
    </w:p>
    <w:p w14:paraId="0423FC65" w14:textId="77777777" w:rsidR="009F6A1C" w:rsidRDefault="009F6A1C">
      <w:pPr>
        <w:pStyle w:val="NormalWeb"/>
        <w:divId w:val="356850243"/>
      </w:pPr>
      <w:r>
        <w:t>4.1 Time is of the essence.</w:t>
      </w:r>
    </w:p>
    <w:p w14:paraId="73965786" w14:textId="77777777" w:rsidR="009F6A1C" w:rsidRDefault="009F6A1C">
      <w:pPr>
        <w:pStyle w:val="NormalWeb"/>
        <w:divId w:val="356850243"/>
      </w:pPr>
      <w:r>
        <w:t xml:space="preserve">4.2 For any delay in achieving a Milestone, the Vendor shall pay liquidated damages of </w:t>
      </w:r>
      <w:r>
        <w:rPr>
          <w:b/>
          <w:bCs/>
        </w:rPr>
        <w:t>one percent (1%) of the total fees for each week</w:t>
      </w:r>
      <w:r>
        <w:t xml:space="preserve"> of delay, subject to a maximum of </w:t>
      </w:r>
      <w:r>
        <w:rPr>
          <w:b/>
          <w:bCs/>
        </w:rPr>
        <w:t>fifteen percent (15%) of the total fees</w:t>
      </w:r>
      <w:r>
        <w:t>.</w:t>
      </w:r>
    </w:p>
    <w:p w14:paraId="69A8AFA8" w14:textId="77777777" w:rsidR="009F6A1C" w:rsidRDefault="009F6A1C">
      <w:pPr>
        <w:pStyle w:val="Heading2"/>
        <w:divId w:val="356850243"/>
        <w:rPr>
          <w:rFonts w:eastAsia="Times New Roman"/>
        </w:rPr>
      </w:pPr>
      <w:r>
        <w:rPr>
          <w:rFonts w:eastAsia="Times New Roman"/>
        </w:rPr>
        <w:t>5. INTELLECTUAL PROPERTY</w:t>
      </w:r>
    </w:p>
    <w:p w14:paraId="0767A32A" w14:textId="77777777" w:rsidR="009F6A1C" w:rsidRDefault="009F6A1C">
      <w:pPr>
        <w:pStyle w:val="NormalWeb"/>
        <w:divId w:val="356850243"/>
      </w:pPr>
      <w:r>
        <w:t>5.1 All Deliverables shall vest in the Company upon creation.</w:t>
      </w:r>
    </w:p>
    <w:p w14:paraId="2DEB41A6" w14:textId="77777777" w:rsidR="009F6A1C" w:rsidRDefault="009F6A1C">
      <w:pPr>
        <w:pStyle w:val="NormalWeb"/>
        <w:divId w:val="356850243"/>
      </w:pPr>
      <w:r>
        <w:t>5.2 The Vendor grants the Company and its group companies a perpetual, irrevocable, royalty-free, sub-licensable licence to use any pre-existing Vendor tools or components incorporated in the Deliverables.</w:t>
      </w:r>
    </w:p>
    <w:p w14:paraId="35424A68" w14:textId="77777777" w:rsidR="009F6A1C" w:rsidRDefault="009F6A1C">
      <w:pPr>
        <w:pStyle w:val="Heading2"/>
        <w:divId w:val="356850243"/>
        <w:rPr>
          <w:rFonts w:eastAsia="Times New Roman"/>
        </w:rPr>
      </w:pPr>
      <w:r>
        <w:rPr>
          <w:rFonts w:eastAsia="Times New Roman"/>
        </w:rPr>
        <w:t>6. CONFIDENTIALITY</w:t>
      </w:r>
    </w:p>
    <w:p w14:paraId="4B2D4E19" w14:textId="77777777" w:rsidR="009F6A1C" w:rsidRDefault="009F6A1C">
      <w:pPr>
        <w:pStyle w:val="NormalWeb"/>
        <w:divId w:val="356850243"/>
      </w:pPr>
      <w:r>
        <w:t>6.1 The Vendor shall keep confidential all information of the Company and its principals (manufacturers), during the term and for five (5) years thereafter.</w:t>
      </w:r>
    </w:p>
    <w:p w14:paraId="2419F884" w14:textId="77777777" w:rsidR="009F6A1C" w:rsidRDefault="009F6A1C">
      <w:pPr>
        <w:pStyle w:val="Heading2"/>
        <w:divId w:val="356850243"/>
        <w:rPr>
          <w:rFonts w:eastAsia="Times New Roman"/>
        </w:rPr>
      </w:pPr>
      <w:r>
        <w:rPr>
          <w:rFonts w:eastAsia="Times New Roman"/>
        </w:rPr>
        <w:t>7. INDEMNITY</w:t>
      </w:r>
    </w:p>
    <w:p w14:paraId="135F94DB" w14:textId="77777777" w:rsidR="009F6A1C" w:rsidRDefault="009F6A1C">
      <w:pPr>
        <w:pStyle w:val="NormalWeb"/>
        <w:divId w:val="356850243"/>
      </w:pPr>
      <w:r>
        <w:t>7.1 The Vendor shall indemnify the Company against all losses arising out of the Services or any act or omission of the Vendor or its personnel.</w:t>
      </w:r>
    </w:p>
    <w:p w14:paraId="54DE522D" w14:textId="77777777" w:rsidR="009F6A1C" w:rsidRDefault="009F6A1C">
      <w:pPr>
        <w:pStyle w:val="Heading2"/>
        <w:divId w:val="356850243"/>
        <w:rPr>
          <w:rFonts w:eastAsia="Times New Roman"/>
        </w:rPr>
      </w:pPr>
      <w:r>
        <w:rPr>
          <w:rFonts w:eastAsia="Times New Roman"/>
        </w:rPr>
        <w:t>8. LIMITATION OF LIABILITY</w:t>
      </w:r>
    </w:p>
    <w:p w14:paraId="70036029" w14:textId="77777777" w:rsidR="009F6A1C" w:rsidRDefault="009F6A1C">
      <w:pPr>
        <w:pStyle w:val="NormalWeb"/>
        <w:divId w:val="356850243"/>
      </w:pPr>
      <w:r>
        <w:t>8.1 The Company's liability shall not exceed the fees paid in the preceding three (3) months.</w:t>
      </w:r>
    </w:p>
    <w:p w14:paraId="4C8D009A" w14:textId="77777777" w:rsidR="009F6A1C" w:rsidRDefault="009F6A1C">
      <w:pPr>
        <w:pStyle w:val="NormalWeb"/>
        <w:divId w:val="356850243"/>
      </w:pPr>
      <w:r>
        <w:rPr>
          <w:i/>
          <w:iCs/>
        </w:rPr>
        <w:t>(No cap is stated for the Vendor.)</w:t>
      </w:r>
    </w:p>
    <w:p w14:paraId="585CE996" w14:textId="77777777" w:rsidR="009F6A1C" w:rsidRDefault="009F6A1C">
      <w:pPr>
        <w:pStyle w:val="Heading2"/>
        <w:divId w:val="356850243"/>
        <w:rPr>
          <w:rFonts w:eastAsia="Times New Roman"/>
        </w:rPr>
      </w:pPr>
      <w:r>
        <w:rPr>
          <w:rFonts w:eastAsia="Times New Roman"/>
        </w:rPr>
        <w:t>9. NON-SOLICITATION</w:t>
      </w:r>
    </w:p>
    <w:p w14:paraId="7F7A10EE" w14:textId="77777777" w:rsidR="009F6A1C" w:rsidRDefault="009F6A1C">
      <w:pPr>
        <w:pStyle w:val="NormalWeb"/>
        <w:divId w:val="356850243"/>
      </w:pPr>
      <w:r>
        <w:t>9.1 The Vendor shall not solicit the Company's employees for twelve (12) months after termination.</w:t>
      </w:r>
    </w:p>
    <w:p w14:paraId="08E87AD1" w14:textId="77777777" w:rsidR="009F6A1C" w:rsidRDefault="009F6A1C">
      <w:pPr>
        <w:pStyle w:val="Heading2"/>
        <w:divId w:val="356850243"/>
        <w:rPr>
          <w:rFonts w:eastAsia="Times New Roman"/>
        </w:rPr>
      </w:pPr>
      <w:r>
        <w:rPr>
          <w:rFonts w:eastAsia="Times New Roman"/>
        </w:rPr>
        <w:t>10. TERMINATION</w:t>
      </w:r>
    </w:p>
    <w:p w14:paraId="59BC5D3F" w14:textId="77777777" w:rsidR="009F6A1C" w:rsidRDefault="009F6A1C">
      <w:pPr>
        <w:pStyle w:val="NormalWeb"/>
        <w:divId w:val="356850243"/>
      </w:pPr>
      <w:r>
        <w:t>10.1 The Company may terminate for convenience on fifteen (15) days' notice. The Vendor shall be paid for accepted Milestones only.</w:t>
      </w:r>
    </w:p>
    <w:p w14:paraId="2A521201" w14:textId="77777777" w:rsidR="009F6A1C" w:rsidRDefault="009F6A1C">
      <w:pPr>
        <w:pStyle w:val="Heading2"/>
        <w:divId w:val="356850243"/>
        <w:rPr>
          <w:rFonts w:eastAsia="Times New Roman"/>
        </w:rPr>
      </w:pPr>
      <w:r>
        <w:rPr>
          <w:rFonts w:eastAsia="Times New Roman"/>
        </w:rPr>
        <w:t>11. GOVERNING LAW</w:t>
      </w:r>
    </w:p>
    <w:p w14:paraId="29897B38" w14:textId="77777777" w:rsidR="009F6A1C" w:rsidRDefault="009F6A1C">
      <w:pPr>
        <w:pStyle w:val="NormalWeb"/>
        <w:divId w:val="356850243"/>
      </w:pPr>
      <w:r>
        <w:lastRenderedPageBreak/>
        <w:t>11.1 Laws of India. Courts at Hyderabad shall have exclusive jurisdiction.</w:t>
      </w:r>
    </w:p>
    <w:p w14:paraId="1A48D86E" w14:textId="77777777" w:rsidR="009F6A1C" w:rsidRDefault="009F6A1C">
      <w:pPr>
        <w:pStyle w:val="Heading2"/>
        <w:divId w:val="356850243"/>
        <w:rPr>
          <w:rFonts w:eastAsia="Times New Roman"/>
        </w:rPr>
      </w:pPr>
      <w:r>
        <w:rPr>
          <w:rFonts w:eastAsia="Times New Roman"/>
        </w:rPr>
        <w:t>SCHEDULE A — MILESTONES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051"/>
        <w:gridCol w:w="4684"/>
        <w:gridCol w:w="1055"/>
        <w:gridCol w:w="1646"/>
      </w:tblGrid>
      <w:tr w:rsidR="00000000" w14:paraId="0F59A896" w14:textId="77777777">
        <w:trPr>
          <w:divId w:val="356850243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3B991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Milestone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2E610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0CD59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Fee (INR)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2D1DB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Target</w:t>
            </w:r>
          </w:p>
        </w:tc>
      </w:tr>
      <w:tr w:rsidR="00000000" w14:paraId="5F1BD11D" w14:textId="77777777">
        <w:trPr>
          <w:divId w:val="356850243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536CA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3DB58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Data assessment and forecasting design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29177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9,75,000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35B8C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Start + 3 weeks</w:t>
            </w:r>
          </w:p>
        </w:tc>
      </w:tr>
      <w:tr w:rsidR="00000000" w14:paraId="78FE64EB" w14:textId="77777777">
        <w:trPr>
          <w:divId w:val="356850243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23BC6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BE689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Forecasting engine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7D3CF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22,75,000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59553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Start + 9 weeks</w:t>
            </w:r>
          </w:p>
        </w:tc>
      </w:tr>
      <w:tr w:rsidR="00000000" w14:paraId="090CAEF1" w14:textId="77777777">
        <w:trPr>
          <w:divId w:val="356850243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28E6B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E933D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Replenishment and expiry-risk module, dashboards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34203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19,50,000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81F11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Start + 14 weeks</w:t>
            </w:r>
          </w:p>
        </w:tc>
      </w:tr>
      <w:tr w:rsidR="00000000" w14:paraId="395C609A" w14:textId="77777777">
        <w:trPr>
          <w:divId w:val="356850243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FFCE9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65AAE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Go-live and hypercare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16522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13,00,000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18B5E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Start + 17 weeks</w:t>
            </w:r>
          </w:p>
        </w:tc>
      </w:tr>
      <w:tr w:rsidR="00000000" w14:paraId="39B45331" w14:textId="77777777">
        <w:trPr>
          <w:divId w:val="356850243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2CA6A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C0F83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BE79D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65,00,000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12F67" w14:textId="77777777" w:rsidR="009F6A1C" w:rsidRDefault="009F6A1C">
            <w:pPr>
              <w:rPr>
                <w:rFonts w:eastAsia="Times New Roman"/>
                <w:sz w:val="22"/>
                <w:szCs w:val="22"/>
              </w:rPr>
            </w:pPr>
          </w:p>
        </w:tc>
      </w:tr>
    </w:tbl>
    <w:p w14:paraId="55E8514C" w14:textId="77777777" w:rsidR="009F6A1C" w:rsidRDefault="009F6A1C">
      <w:pPr>
        <w:pStyle w:val="Heading2"/>
        <w:divId w:val="356850243"/>
        <w:rPr>
          <w:rFonts w:eastAsia="Times New Roman"/>
        </w:rPr>
      </w:pPr>
      <w:r>
        <w:rPr>
          <w:rFonts w:eastAsia="Times New Roman"/>
        </w:rPr>
        <w:t>SIGNATURES</w:t>
      </w:r>
    </w:p>
    <w:p w14:paraId="4C83A9EC" w14:textId="77777777" w:rsidR="009F6A1C" w:rsidRDefault="009F6A1C">
      <w:pPr>
        <w:pStyle w:val="NormalWeb"/>
        <w:divId w:val="356850243"/>
      </w:pPr>
      <w:r>
        <w:t xml:space="preserve">For </w:t>
      </w:r>
      <w:r>
        <w:rPr>
          <w:b/>
          <w:bCs/>
        </w:rPr>
        <w:t>PILLARSTONE PHARMA LOGISTICS PRIVATE LIMITED</w:t>
      </w:r>
    </w:p>
    <w:p w14:paraId="721AB05A" w14:textId="77777777" w:rsidR="009F6A1C" w:rsidRDefault="009F6A1C">
      <w:pPr>
        <w:pStyle w:val="NormalWeb"/>
        <w:divId w:val="356850243"/>
      </w:pPr>
      <w:r>
        <w:t>Name: Sravani Reddy</w:t>
      </w:r>
    </w:p>
    <w:p w14:paraId="04EC62F0" w14:textId="77777777" w:rsidR="009F6A1C" w:rsidRDefault="009F6A1C">
      <w:pPr>
        <w:pStyle w:val="NormalWeb"/>
        <w:divId w:val="356850243"/>
      </w:pPr>
      <w:r>
        <w:t>Designation: Chief Operating Officer</w:t>
      </w:r>
    </w:p>
    <w:p w14:paraId="7B9C3693" w14:textId="77777777" w:rsidR="009F6A1C" w:rsidRDefault="009F6A1C">
      <w:pPr>
        <w:pStyle w:val="NormalWeb"/>
        <w:divId w:val="356850243"/>
      </w:pPr>
      <w:r>
        <w:t>Signature: ______________ Date: __________</w:t>
      </w:r>
    </w:p>
    <w:p w14:paraId="32E697BE" w14:textId="77777777" w:rsidR="009F6A1C" w:rsidRDefault="009F6A1C">
      <w:pPr>
        <w:pStyle w:val="NormalWeb"/>
        <w:divId w:val="356850243"/>
      </w:pPr>
      <w:r>
        <w:t xml:space="preserve">For </w:t>
      </w:r>
      <w:r>
        <w:rPr>
          <w:b/>
          <w:bCs/>
        </w:rPr>
        <w:t>ATLIQ TECHNOLOGIES PRIVATE LIMITED</w:t>
      </w:r>
    </w:p>
    <w:p w14:paraId="5358350E" w14:textId="77777777" w:rsidR="009F6A1C" w:rsidRDefault="009F6A1C">
      <w:pPr>
        <w:pStyle w:val="NormalWeb"/>
        <w:divId w:val="356850243"/>
      </w:pPr>
      <w:r>
        <w:t>Name: ______________</w:t>
      </w:r>
    </w:p>
    <w:p w14:paraId="79F83C8A" w14:textId="77777777" w:rsidR="009F6A1C" w:rsidRDefault="009F6A1C">
      <w:pPr>
        <w:pStyle w:val="NormalWeb"/>
        <w:divId w:val="356850243"/>
      </w:pPr>
      <w:r>
        <w:t>Designation: ______________</w:t>
      </w:r>
    </w:p>
    <w:p w14:paraId="43376DE6" w14:textId="77777777" w:rsidR="009F6A1C" w:rsidRDefault="009F6A1C">
      <w:pPr>
        <w:pStyle w:val="NormalWeb"/>
        <w:divId w:val="356850243"/>
      </w:pPr>
      <w:r>
        <w:t>Signature: ______________ Date: __________</w:t>
      </w:r>
    </w:p>
    <w:sectPr w:rsidR="009F6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41F"/>
    <w:rsid w:val="0043541F"/>
    <w:rsid w:val="009F6A1C"/>
    <w:rsid w:val="00D5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4383E9"/>
  <w15:chartTrackingRefBased/>
  <w15:docId w15:val="{050A1FC4-CB82-45DF-BDBD-34A3F618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0"/>
      <w:szCs w:val="30"/>
    </w:rPr>
  </w:style>
  <w:style w:type="paragraph" w:styleId="Heading2">
    <w:name w:val="heading 2"/>
    <w:basedOn w:val="Normal"/>
    <w:link w:val="Heading2Char"/>
    <w:uiPriority w:val="9"/>
    <w:qFormat/>
    <w:pPr>
      <w:spacing w:before="288" w:after="100" w:afterAutospacing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850243">
      <w:bodyDiv w:val="1"/>
      <w:marLeft w:val="0"/>
      <w:marRight w:val="0"/>
      <w:marTop w:val="720"/>
      <w:marBottom w:val="7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Vaibhavi Vadali</dc:creator>
  <cp:keywords/>
  <dc:description/>
  <cp:lastModifiedBy>Vaibhavi Vadali</cp:lastModifiedBy>
  <cp:revision>2</cp:revision>
  <dcterms:created xsi:type="dcterms:W3CDTF">2026-10-13T17:22:00Z</dcterms:created>
  <dcterms:modified xsi:type="dcterms:W3CDTF">2026-10-13T17:22:00Z</dcterms:modified>
</cp:coreProperties>
</file>