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4876" w14:textId="77777777" w:rsidR="00503C10" w:rsidRDefault="00503C10">
      <w:pPr>
        <w:pStyle w:val="Heading1"/>
        <w:jc w:val="center"/>
        <w:divId w:val="1766919366"/>
        <w:rPr>
          <w:rFonts w:eastAsia="Times New Roman"/>
        </w:rPr>
      </w:pPr>
      <w:r>
        <w:rPr>
          <w:rFonts w:eastAsia="Times New Roman"/>
        </w:rPr>
        <w:t>QUANTA LAKE IMPLEMENTATION PARTNER AGREEMENT</w:t>
      </w:r>
    </w:p>
    <w:p w14:paraId="1612A3AC" w14:textId="77777777" w:rsidR="00503C10" w:rsidRDefault="00503C10">
      <w:pPr>
        <w:pStyle w:val="NormalWeb"/>
        <w:divId w:val="1766919366"/>
      </w:pPr>
      <w:r>
        <w:t>This Implementation Partner Agreement (the "</w:t>
      </w:r>
      <w:r>
        <w:rPr>
          <w:b/>
          <w:bCs/>
        </w:rPr>
        <w:t>Agreement</w:t>
      </w:r>
      <w:r>
        <w:t>") is entered into as of the date of last signature below (the "</w:t>
      </w:r>
      <w:r>
        <w:rPr>
          <w:b/>
          <w:bCs/>
        </w:rPr>
        <w:t>Effective Date</w:t>
      </w:r>
      <w:r>
        <w:t xml:space="preserve">") between </w:t>
      </w:r>
      <w:r>
        <w:rPr>
          <w:b/>
          <w:bCs/>
        </w:rPr>
        <w:t>Quanta Lake Data, Inc.</w:t>
      </w:r>
      <w:r>
        <w:t>, a Delaware corporation with offices at 500 Howard Street, Suite 900, San Francisco, California 94105 ("</w:t>
      </w:r>
      <w:r>
        <w:rPr>
          <w:b/>
          <w:bCs/>
        </w:rPr>
        <w:t>Quanta Lake</w:t>
      </w:r>
      <w:r>
        <w:t xml:space="preserve">"), and </w:t>
      </w:r>
      <w:r>
        <w:rPr>
          <w:b/>
          <w:bCs/>
        </w:rPr>
        <w:t>AtliQ Inc</w:t>
      </w:r>
      <w:r>
        <w:t>, a Delaware corporation with offices at 101 College Road East, Suite 210, Princeton, New Jersey 08540 ("</w:t>
      </w:r>
      <w:r>
        <w:rPr>
          <w:b/>
          <w:bCs/>
        </w:rPr>
        <w:t>Partner</w:t>
      </w:r>
      <w:r>
        <w:t>").</w:t>
      </w:r>
    </w:p>
    <w:p w14:paraId="641DB7ED" w14:textId="77777777" w:rsidR="00503C10" w:rsidRDefault="00503C10">
      <w:pPr>
        <w:pStyle w:val="Heading2"/>
        <w:divId w:val="1766919366"/>
        <w:rPr>
          <w:rFonts w:eastAsia="Times New Roman"/>
        </w:rPr>
      </w:pPr>
      <w:r>
        <w:rPr>
          <w:rFonts w:eastAsia="Times New Roman"/>
        </w:rPr>
        <w:t>1. APPOINTMENT</w:t>
      </w:r>
    </w:p>
    <w:p w14:paraId="6325F303" w14:textId="77777777" w:rsidR="00503C10" w:rsidRDefault="00503C10">
      <w:pPr>
        <w:pStyle w:val="NormalWeb"/>
        <w:divId w:val="1766919366"/>
      </w:pPr>
      <w:r>
        <w:t>1.1 Quanta Lake appoints Partner as a non-exclusive Select-tier Implementation Partner for the Quanta Lake data platform in the Territory.</w:t>
      </w:r>
    </w:p>
    <w:p w14:paraId="41E893DB" w14:textId="77777777" w:rsidR="00503C10" w:rsidRDefault="00503C10">
      <w:pPr>
        <w:pStyle w:val="NormalWeb"/>
        <w:divId w:val="1766919366"/>
      </w:pPr>
      <w:r>
        <w:t>1.2 "</w:t>
      </w:r>
      <w:r>
        <w:rPr>
          <w:b/>
          <w:bCs/>
        </w:rPr>
        <w:t>Territory</w:t>
      </w:r>
      <w:r>
        <w:t>" means India, Singapore, the United Arab Emirates, Saudi Arabia and Qatar.</w:t>
      </w:r>
    </w:p>
    <w:p w14:paraId="127D0344" w14:textId="77777777" w:rsidR="00503C10" w:rsidRDefault="00503C10">
      <w:pPr>
        <w:pStyle w:val="NormalWeb"/>
        <w:divId w:val="1766919366"/>
      </w:pPr>
      <w:r>
        <w:t>1.3 Partner may refer opportunities, resell Quanta Lake subscriptions at partner-tier pricing, and deliver implementation services to Quanta Lake customers.</w:t>
      </w:r>
    </w:p>
    <w:p w14:paraId="60F2FED9" w14:textId="77777777" w:rsidR="00503C10" w:rsidRDefault="00503C10">
      <w:pPr>
        <w:pStyle w:val="Heading2"/>
        <w:divId w:val="1766919366"/>
        <w:rPr>
          <w:rFonts w:eastAsia="Times New Roman"/>
        </w:rPr>
      </w:pPr>
      <w:r>
        <w:rPr>
          <w:rFonts w:eastAsia="Times New Roman"/>
        </w:rPr>
        <w:t>2. PARTNER BENEFITS</w:t>
      </w:r>
    </w:p>
    <w:p w14:paraId="6527BF0B" w14:textId="77777777" w:rsidR="00503C10" w:rsidRDefault="00503C10">
      <w:pPr>
        <w:pStyle w:val="NormalWeb"/>
        <w:divId w:val="1766919366"/>
      </w:pPr>
      <w:r>
        <w:t xml:space="preserve">2.1 Referral fee: </w:t>
      </w:r>
      <w:r>
        <w:rPr>
          <w:b/>
          <w:bCs/>
        </w:rPr>
        <w:t>20%</w:t>
      </w:r>
      <w:r>
        <w:t xml:space="preserve"> of first-year net subscription revenue for registered opportunities.</w:t>
      </w:r>
    </w:p>
    <w:p w14:paraId="40D8FEA2" w14:textId="77777777" w:rsidR="00503C10" w:rsidRDefault="00503C10">
      <w:pPr>
        <w:pStyle w:val="NormalWeb"/>
        <w:divId w:val="1766919366"/>
      </w:pPr>
      <w:r>
        <w:t>2.2 Resale margin: 18% off list price.</w:t>
      </w:r>
    </w:p>
    <w:p w14:paraId="5FAD6D6F" w14:textId="77777777" w:rsidR="00503C10" w:rsidRDefault="00503C10">
      <w:pPr>
        <w:pStyle w:val="NormalWeb"/>
        <w:divId w:val="1766919366"/>
      </w:pPr>
      <w:r>
        <w:t>2.3 Market development funds of up to USD 40,000 per year, subject to joint marketing plans.</w:t>
      </w:r>
    </w:p>
    <w:p w14:paraId="1B4C1A56" w14:textId="77777777" w:rsidR="00503C10" w:rsidRDefault="00503C10">
      <w:pPr>
        <w:pStyle w:val="NormalWeb"/>
        <w:divId w:val="1766919366"/>
      </w:pPr>
      <w:r>
        <w:t>2.4 Partner shall be listed in the Quanta Lake partner directory and included in Quanta Lake's Asia-Pacific and Middle East launch campaign in Q4 2026.</w:t>
      </w:r>
    </w:p>
    <w:p w14:paraId="519B1501" w14:textId="77777777" w:rsidR="00503C10" w:rsidRDefault="00503C10">
      <w:pPr>
        <w:pStyle w:val="Heading2"/>
        <w:divId w:val="1766919366"/>
        <w:rPr>
          <w:rFonts w:eastAsia="Times New Roman"/>
        </w:rPr>
      </w:pPr>
      <w:r>
        <w:rPr>
          <w:rFonts w:eastAsia="Times New Roman"/>
        </w:rPr>
        <w:t>3. PARTNER COMMITMENTS</w:t>
      </w:r>
    </w:p>
    <w:p w14:paraId="4581B74E" w14:textId="77777777" w:rsidR="00503C10" w:rsidRDefault="00503C10">
      <w:pPr>
        <w:pStyle w:val="NormalWeb"/>
        <w:divId w:val="1766919366"/>
      </w:pPr>
      <w:r>
        <w:t>3.1 Partner shall achieve and maintain at least five (5) Quanta Lake-certified engineers within six (6) months.</w:t>
      </w:r>
    </w:p>
    <w:p w14:paraId="1C62136A" w14:textId="77777777" w:rsidR="00503C10" w:rsidRDefault="00503C10">
      <w:pPr>
        <w:pStyle w:val="NormalWeb"/>
        <w:divId w:val="1766919366"/>
      </w:pPr>
      <w:r>
        <w:t>3.2 Partner shall register opportunities in the Quanta Lake Partner Portal.</w:t>
      </w:r>
    </w:p>
    <w:p w14:paraId="798F8872" w14:textId="77777777" w:rsidR="00503C10" w:rsidRDefault="00503C10">
      <w:pPr>
        <w:pStyle w:val="NormalWeb"/>
        <w:divId w:val="1766919366"/>
      </w:pPr>
      <w:r>
        <w:t xml:space="preserve">3.3 </w:t>
      </w:r>
      <w:r>
        <w:rPr>
          <w:b/>
          <w:bCs/>
        </w:rPr>
        <w:t>Platform focus.</w:t>
      </w:r>
      <w:r>
        <w:t xml:space="preserve"> During the Term, Partner shall not, and shall procure that its Affiliates shall not, enter into any new reseller or implementation partnership with the providers of Zephyr Lakehouse, Polarbase Warehouse or StratoGrid Analytics Cloud in the Territory.</w:t>
      </w:r>
    </w:p>
    <w:p w14:paraId="12726D6F" w14:textId="77777777" w:rsidR="00503C10" w:rsidRDefault="00503C10">
      <w:pPr>
        <w:pStyle w:val="Heading2"/>
        <w:divId w:val="1766919366"/>
        <w:rPr>
          <w:rFonts w:eastAsia="Times New Roman"/>
        </w:rPr>
      </w:pPr>
      <w:r>
        <w:rPr>
          <w:rFonts w:eastAsia="Times New Roman"/>
        </w:rPr>
        <w:t>4. TERM</w:t>
      </w:r>
    </w:p>
    <w:p w14:paraId="4ADD0414" w14:textId="77777777" w:rsidR="00503C10" w:rsidRDefault="00503C10">
      <w:pPr>
        <w:pStyle w:val="NormalWeb"/>
        <w:divId w:val="1766919366"/>
      </w:pPr>
      <w:r>
        <w:t>4.1 Initial term of two (2) years, renewing annually unless either party gives sixty (60) days' notice.</w:t>
      </w:r>
    </w:p>
    <w:p w14:paraId="1BF25B6B" w14:textId="77777777" w:rsidR="00503C10" w:rsidRDefault="00503C10">
      <w:pPr>
        <w:pStyle w:val="NormalWeb"/>
        <w:divId w:val="1766919366"/>
      </w:pPr>
      <w:r>
        <w:t>4.2 Either party may terminate for convenience on ninety (90) days' notice.</w:t>
      </w:r>
    </w:p>
    <w:p w14:paraId="3BA9DDC8" w14:textId="77777777" w:rsidR="00503C10" w:rsidRDefault="00503C10">
      <w:pPr>
        <w:pStyle w:val="Heading2"/>
        <w:divId w:val="1766919366"/>
        <w:rPr>
          <w:rFonts w:eastAsia="Times New Roman"/>
        </w:rPr>
      </w:pPr>
      <w:r>
        <w:rPr>
          <w:rFonts w:eastAsia="Times New Roman"/>
        </w:rPr>
        <w:lastRenderedPageBreak/>
        <w:t>5. CONFIDENTIALITY</w:t>
      </w:r>
    </w:p>
    <w:p w14:paraId="7EAE0730" w14:textId="77777777" w:rsidR="00503C10" w:rsidRDefault="00503C10">
      <w:pPr>
        <w:pStyle w:val="NormalWeb"/>
        <w:divId w:val="1766919366"/>
      </w:pPr>
      <w:r>
        <w:t>5.1 Mutual; three (3) years after termination.</w:t>
      </w:r>
    </w:p>
    <w:p w14:paraId="7556ABDA" w14:textId="77777777" w:rsidR="00503C10" w:rsidRDefault="00503C10">
      <w:pPr>
        <w:pStyle w:val="Heading2"/>
        <w:divId w:val="1766919366"/>
        <w:rPr>
          <w:rFonts w:eastAsia="Times New Roman"/>
        </w:rPr>
      </w:pPr>
      <w:r>
        <w:rPr>
          <w:rFonts w:eastAsia="Times New Roman"/>
        </w:rPr>
        <w:t>6. TRADEMARKS</w:t>
      </w:r>
    </w:p>
    <w:p w14:paraId="190BCE4C" w14:textId="77777777" w:rsidR="00503C10" w:rsidRDefault="00503C10">
      <w:pPr>
        <w:pStyle w:val="NormalWeb"/>
        <w:divId w:val="1766919366"/>
      </w:pPr>
      <w:r>
        <w:t>6.1 Each party grants the other a limited licence to use its marks in approved co-marketing materials.</w:t>
      </w:r>
    </w:p>
    <w:p w14:paraId="74F5F613" w14:textId="77777777" w:rsidR="00503C10" w:rsidRDefault="00503C10">
      <w:pPr>
        <w:pStyle w:val="Heading2"/>
        <w:divId w:val="1766919366"/>
        <w:rPr>
          <w:rFonts w:eastAsia="Times New Roman"/>
        </w:rPr>
      </w:pPr>
      <w:r>
        <w:rPr>
          <w:rFonts w:eastAsia="Times New Roman"/>
        </w:rPr>
        <w:t>7. LIABILITY</w:t>
      </w:r>
    </w:p>
    <w:p w14:paraId="1AEE2726" w14:textId="77777777" w:rsidR="00503C10" w:rsidRDefault="00503C10">
      <w:pPr>
        <w:pStyle w:val="NormalWeb"/>
        <w:divId w:val="1766919366"/>
      </w:pPr>
      <w:r>
        <w:t>7.1 Neither party is liable for indirect damages. Each party's liability is capped at USD 250,000, except for breach of confidentiality or Section 3.3.</w:t>
      </w:r>
    </w:p>
    <w:p w14:paraId="3D60942D" w14:textId="77777777" w:rsidR="00503C10" w:rsidRDefault="00503C10">
      <w:pPr>
        <w:pStyle w:val="Heading2"/>
        <w:divId w:val="1766919366"/>
        <w:rPr>
          <w:rFonts w:eastAsia="Times New Roman"/>
        </w:rPr>
      </w:pPr>
      <w:r>
        <w:rPr>
          <w:rFonts w:eastAsia="Times New Roman"/>
        </w:rPr>
        <w:t>8. GOVERNING LAW</w:t>
      </w:r>
    </w:p>
    <w:p w14:paraId="3D21651B" w14:textId="77777777" w:rsidR="00503C10" w:rsidRDefault="00503C10">
      <w:pPr>
        <w:pStyle w:val="NormalWeb"/>
        <w:divId w:val="1766919366"/>
      </w:pPr>
      <w:r>
        <w:t>8.1 This Agreement is governed by the laws of the State of California. Disputes shall be resolved in the state or federal courts in San Francisco County.</w:t>
      </w:r>
    </w:p>
    <w:p w14:paraId="45307FB8" w14:textId="77777777" w:rsidR="00503C10" w:rsidRDefault="00503C10">
      <w:pPr>
        <w:pStyle w:val="Heading2"/>
        <w:divId w:val="1766919366"/>
        <w:rPr>
          <w:rFonts w:eastAsia="Times New Roman"/>
        </w:rPr>
      </w:pPr>
      <w:r>
        <w:rPr>
          <w:rFonts w:eastAsia="Times New Roman"/>
        </w:rPr>
        <w:t>SIGNATURES</w:t>
      </w:r>
    </w:p>
    <w:p w14:paraId="70A0978C" w14:textId="77777777" w:rsidR="00503C10" w:rsidRDefault="00503C10">
      <w:pPr>
        <w:pStyle w:val="NormalWeb"/>
        <w:divId w:val="1766919366"/>
      </w:pPr>
      <w:r>
        <w:rPr>
          <w:b/>
          <w:bCs/>
        </w:rPr>
        <w:t>QUANTA LAKE DATA, INC.</w:t>
      </w:r>
    </w:p>
    <w:p w14:paraId="5BE2D0AA" w14:textId="77777777" w:rsidR="00503C10" w:rsidRDefault="00503C10">
      <w:pPr>
        <w:pStyle w:val="NormalWeb"/>
        <w:divId w:val="1766919366"/>
      </w:pPr>
      <w:r>
        <w:t>By: ________________ Name: Priya Natarajan Title: VP, Global Partnerships Date: ______</w:t>
      </w:r>
    </w:p>
    <w:p w14:paraId="276BFEDF" w14:textId="77777777" w:rsidR="00503C10" w:rsidRDefault="00503C10">
      <w:pPr>
        <w:pStyle w:val="NormalWeb"/>
        <w:divId w:val="1766919366"/>
      </w:pPr>
      <w:r>
        <w:rPr>
          <w:b/>
          <w:bCs/>
        </w:rPr>
        <w:t>ATLIQ INC</w:t>
      </w:r>
    </w:p>
    <w:p w14:paraId="751D872D" w14:textId="77777777" w:rsidR="00503C10" w:rsidRDefault="00503C10">
      <w:pPr>
        <w:pStyle w:val="NormalWeb"/>
        <w:divId w:val="1766919366"/>
      </w:pPr>
      <w:r>
        <w:t>By: ________________ Name: ________________ Title: ________________ Date: ______</w:t>
      </w:r>
    </w:p>
    <w:sectPr w:rsidR="00503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586A"/>
    <w:rsid w:val="0014586A"/>
    <w:rsid w:val="002953B6"/>
    <w:rsid w:val="00503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70C756"/>
  <w15:chartTrackingRefBased/>
  <w15:docId w15:val="{09745533-EAAE-4094-8AE6-056F6832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0"/>
      <w:szCs w:val="30"/>
    </w:rPr>
  </w:style>
  <w:style w:type="paragraph" w:styleId="Heading2">
    <w:name w:val="heading 2"/>
    <w:basedOn w:val="Normal"/>
    <w:link w:val="Heading2Char"/>
    <w:uiPriority w:val="9"/>
    <w:qFormat/>
    <w:pPr>
      <w:spacing w:before="288" w:after="100" w:afterAutospacing="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919366">
      <w:bodyDiv w:val="1"/>
      <w:marLeft w:val="0"/>
      <w:marRight w:val="0"/>
      <w:marTop w:val="720"/>
      <w:marBottom w:val="72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Vaibhavi Vadali</dc:creator>
  <cp:keywords/>
  <dc:description/>
  <cp:lastModifiedBy>Vaibhavi Vadali</cp:lastModifiedBy>
  <cp:revision>2</cp:revision>
  <dcterms:created xsi:type="dcterms:W3CDTF">2026-10-13T17:22:00Z</dcterms:created>
  <dcterms:modified xsi:type="dcterms:W3CDTF">2026-10-13T17:22:00Z</dcterms:modified>
</cp:coreProperties>
</file>