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Yours Legally, — AI PRD</w:t>
      </w:r>
    </w:p>
    <w:p>
      <w:r>
        <w:rPr>
          <w:i/>
        </w:rPr>
        <w:t>AI Product Requirements Document</w:t>
      </w:r>
    </w:p>
    <w:p>
      <w:r>
        <w:rPr>
          <w:b/>
        </w:rPr>
        <w:t>Table of Contents</w:t>
      </w:r>
    </w:p>
    <w:p>
      <w:pPr>
        <w:pStyle w:val="ListParagraph"/>
        <w:spacing w:after="0"/>
      </w:pPr>
      <w:r>
        <w:t>1. Executive Summary</w:t>
      </w:r>
    </w:p>
    <w:p>
      <w:pPr>
        <w:pStyle w:val="ListParagraph"/>
        <w:spacing w:after="0"/>
      </w:pPr>
      <w:r>
        <w:t>2. Problem Statement and Background</w:t>
      </w:r>
    </w:p>
    <w:p>
      <w:pPr>
        <w:pStyle w:val="ListParagraph"/>
        <w:spacing w:after="0"/>
      </w:pPr>
      <w:r>
        <w:t>3. Opportunity and AI Capability Mapping</w:t>
      </w:r>
    </w:p>
    <w:p>
      <w:pPr>
        <w:pStyle w:val="ListParagraph"/>
        <w:spacing w:after="0"/>
      </w:pPr>
      <w:r>
        <w:t>4. Personas and User Stories</w:t>
      </w:r>
    </w:p>
    <w:p>
      <w:pPr>
        <w:pStyle w:val="ListParagraph"/>
        <w:spacing w:after="0"/>
      </w:pPr>
      <w:r>
        <w:t>5. Model Strategy</w:t>
      </w:r>
    </w:p>
    <w:p>
      <w:pPr>
        <w:pStyle w:val="ListParagraph"/>
        <w:spacing w:after="0"/>
      </w:pPr>
      <w:r>
        <w:t>6. Functional Requirements</w:t>
      </w:r>
    </w:p>
    <w:p>
      <w:pPr>
        <w:pStyle w:val="ListParagraph"/>
        <w:spacing w:after="0"/>
      </w:pPr>
      <w:r>
        <w:t>7. Context and Data Pipeline</w:t>
      </w:r>
    </w:p>
    <w:p>
      <w:pPr>
        <w:pStyle w:val="ListParagraph"/>
        <w:spacing w:after="0"/>
      </w:pPr>
      <w:r>
        <w:t>8. Non-Functional Requirements</w:t>
      </w:r>
    </w:p>
    <w:p>
      <w:pPr>
        <w:pStyle w:val="ListParagraph"/>
        <w:spacing w:after="0"/>
      </w:pPr>
      <w:r>
        <w:t>9. Behaviour, Output Specification and Workflow</w:t>
      </w:r>
    </w:p>
    <w:p>
      <w:pPr>
        <w:pStyle w:val="ListParagraph"/>
        <w:spacing w:after="0"/>
      </w:pPr>
      <w:r>
        <w:t>10. Guardrails and Failure Modes</w:t>
      </w:r>
    </w:p>
    <w:p>
      <w:pPr>
        <w:pStyle w:val="ListParagraph"/>
        <w:spacing w:after="0"/>
      </w:pPr>
      <w:r>
        <w:t>11. Eval Criteria</w:t>
      </w:r>
    </w:p>
    <w:p>
      <w:pPr>
        <w:pStyle w:val="ListParagraph"/>
        <w:spacing w:after="0"/>
      </w:pPr>
      <w:r>
        <w:t>12. Success Metrics (North Star &amp; Metrics)</w:t>
      </w:r>
    </w:p>
    <w:p>
      <w:pPr>
        <w:pStyle w:val="ListParagraph"/>
        <w:spacing w:after="0"/>
      </w:pPr>
      <w:r>
        <w:t>13. Scope and MVP Boundary</w:t>
      </w:r>
    </w:p>
    <w:p>
      <w:pPr>
        <w:pStyle w:val="ListParagraph"/>
        <w:spacing w:after="0"/>
      </w:pPr>
      <w:r>
        <w:t>14. Rollout and Release Strategy (tentative)</w:t>
      </w:r>
    </w:p>
    <w:p>
      <w:pPr>
        <w:pStyle w:val="ListParagraph"/>
        <w:spacing w:after="0"/>
      </w:pPr>
      <w:r>
        <w:t>15. Timeline and Milestones</w:t>
      </w:r>
    </w:p>
    <w:p>
      <w:pPr>
        <w:pStyle w:val="ListParagraph"/>
        <w:spacing w:after="0"/>
      </w:pPr>
      <w:r>
        <w:t>16. Open Questions and Assumptions Log</w:t>
      </w:r>
    </w:p>
    <w:p>
      <w:pPr>
        <w:shd w:val="clear" w:color="auto" w:fill="EEF3F9"/>
      </w:pPr>
      <w:r>
        <w:rPr>
          <w:b/>
          <w:i w:val="0"/>
          <w:sz w:val="20"/>
        </w:rPr>
        <w:t>About this document.</w:t>
      </w:r>
      <w:r>
        <w:rPr>
          <w:b w:val="0"/>
          <w:i w:val="0"/>
          <w:sz w:val="20"/>
        </w:rPr>
        <w:t xml:space="preserve"> The product requirements for Yours Legally,. It describes the product, not the prototype: limits that belong only to the prototype are listed in the prototype README, and §6 shows which requirements the prototype implements. Feature IDs (F1–F12) follow </w:t>
      </w:r>
      <w:r>
        <w:rPr>
          <w:rFonts w:ascii="Consolas" w:hAnsi="Consolas"/>
          <w:b w:val="0"/>
          <w:i w:val="0"/>
          <w:sz w:val="20"/>
        </w:rPr>
        <w:t>Traceability_Matrix.md</w:t>
      </w:r>
      <w:r>
        <w:rPr>
          <w:b w:val="0"/>
          <w:i w:val="0"/>
          <w:sz w:val="20"/>
        </w:rPr>
        <w:t xml:space="preserve">; test cases live in </w:t>
      </w:r>
      <w:r>
        <w:rPr>
          <w:rFonts w:ascii="Consolas" w:hAnsi="Consolas"/>
          <w:b w:val="0"/>
          <w:i w:val="0"/>
          <w:sz w:val="20"/>
        </w:rPr>
        <w:t>Eval_Set.md</w:t>
      </w:r>
      <w:r>
        <w:rPr>
          <w:b w:val="0"/>
          <w:i w:val="0"/>
          <w:sz w:val="20"/>
        </w:rPr>
        <w:t>; section numbers follow the AI PRD template.</w:t>
      </w:r>
    </w:p>
    <w:p>
      <w:pPr>
        <w:pStyle w:val="Heading1"/>
      </w:pPr>
      <w:r>
        <w:rPr>
          <w:b w:val="0"/>
          <w:i w:val="0"/>
        </w:rPr>
        <w:t>PRD Details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Field</w:t>
            </w:r>
          </w:p>
        </w:tc>
        <w:tc>
          <w:tcPr>
            <w:tcW w:type="dxa" w:w="6703"/>
            <w:shd w:val="clear" w:color="auto" w:fill="DCE6F2"/>
          </w:tcPr>
          <w:p>
            <w:pPr>
              <w:spacing w:after="20" w:before="20"/>
            </w:pPr>
            <w:r>
              <w:rPr>
                <w:b/>
                <w:i w:val="0"/>
                <w:sz w:val="18"/>
              </w:rPr>
              <w:t>Detail</w:t>
            </w:r>
          </w:p>
        </w:tc>
      </w:tr>
      <w:tr>
        <w:tc>
          <w:tcPr>
            <w:tcW w:type="dxa" w:w="2656"/>
          </w:tcPr>
          <w:p>
            <w:pPr>
              <w:spacing w:after="20" w:before="20"/>
            </w:pPr>
            <w:r>
              <w:rPr>
                <w:b/>
                <w:i w:val="0"/>
                <w:sz w:val="18"/>
              </w:rPr>
              <w:t>Product name</w:t>
            </w:r>
          </w:p>
        </w:tc>
        <w:tc>
          <w:tcPr>
            <w:tcW w:type="dxa" w:w="6703"/>
          </w:tcPr>
          <w:p>
            <w:pPr>
              <w:spacing w:after="20" w:before="20"/>
            </w:pPr>
            <w:r>
              <w:rPr>
                <w:b w:val="0"/>
                <w:i w:val="0"/>
                <w:sz w:val="18"/>
              </w:rPr>
              <w:t>Yours Legally,</w:t>
            </w:r>
          </w:p>
        </w:tc>
      </w:tr>
      <w:tr>
        <w:tc>
          <w:tcPr>
            <w:tcW w:type="dxa" w:w="2656"/>
          </w:tcPr>
          <w:p>
            <w:pPr>
              <w:spacing w:after="20" w:before="20"/>
            </w:pPr>
            <w:r>
              <w:rPr>
                <w:b/>
                <w:i w:val="0"/>
                <w:sz w:val="18"/>
              </w:rPr>
              <w:t>Author</w:t>
            </w:r>
          </w:p>
        </w:tc>
        <w:tc>
          <w:tcPr>
            <w:tcW w:type="dxa" w:w="6703"/>
          </w:tcPr>
          <w:p>
            <w:pPr>
              <w:spacing w:after="20" w:before="20"/>
            </w:pPr>
            <w:r>
              <w:rPr>
                <w:b w:val="0"/>
                <w:i w:val="0"/>
                <w:sz w:val="18"/>
              </w:rPr>
              <w:t>Vaibhavi Vadali, AI Product Manager</w:t>
            </w:r>
          </w:p>
        </w:tc>
      </w:tr>
      <w:tr>
        <w:tc>
          <w:tcPr>
            <w:tcW w:type="dxa" w:w="2656"/>
          </w:tcPr>
          <w:p>
            <w:pPr>
              <w:spacing w:after="20" w:before="20"/>
            </w:pPr>
            <w:r>
              <w:rPr>
                <w:b/>
                <w:i w:val="0"/>
                <w:sz w:val="18"/>
              </w:rPr>
              <w:t>Status</w:t>
            </w:r>
          </w:p>
        </w:tc>
        <w:tc>
          <w:tcPr>
            <w:tcW w:type="dxa" w:w="6703"/>
          </w:tcPr>
          <w:p>
            <w:pPr>
              <w:spacing w:after="20" w:before="20"/>
            </w:pPr>
            <w:r>
              <w:rPr>
                <w:b w:val="0"/>
                <w:i w:val="0"/>
                <w:sz w:val="18"/>
              </w:rPr>
              <w:t>Final</w:t>
            </w:r>
          </w:p>
        </w:tc>
      </w:tr>
      <w:tr>
        <w:tc>
          <w:tcPr>
            <w:tcW w:type="dxa" w:w="2656"/>
          </w:tcPr>
          <w:p>
            <w:pPr>
              <w:spacing w:after="20" w:before="20"/>
            </w:pPr>
            <w:r>
              <w:rPr>
                <w:b/>
                <w:i w:val="0"/>
                <w:sz w:val="18"/>
              </w:rPr>
              <w:t>Prototype</w:t>
            </w:r>
          </w:p>
        </w:tc>
        <w:tc>
          <w:tcPr>
            <w:tcW w:type="dxa" w:w="6703"/>
          </w:tcPr>
          <w:p>
            <w:pPr>
              <w:spacing w:after="20" w:before="20"/>
            </w:pPr>
            <w:r>
              <w:rPr>
                <w:b w:val="0"/>
                <w:i w:val="0"/>
                <w:sz w:val="18"/>
              </w:rPr>
              <w:t>https://yours-legally.vercel.app (code: https://github.com/vadalivaibhavi/Yours-Legally)</w:t>
            </w:r>
          </w:p>
        </w:tc>
      </w:tr>
    </w:tbl>
    <w:p>
      <w:pPr>
        <w:spacing w:after="40"/>
      </w:pPr>
    </w:p>
    <w:p>
      <w:pPr>
        <w:shd w:val="clear" w:color="auto" w:fill="EEF3F9"/>
      </w:pPr>
      <w:r>
        <w:rPr>
          <w:b/>
          <w:i w:val="0"/>
          <w:sz w:val="20"/>
        </w:rPr>
        <w:t>Pain Point:</w:t>
      </w:r>
      <w:r>
        <w:rPr>
          <w:b w:val="0"/>
          <w:i w:val="0"/>
          <w:sz w:val="20"/>
        </w:rPr>
        <w:t xml:space="preserve"> AtliQ has no legal team. Every contract is reviewed and signed by the CEO, late at night, from memory. What decides whether a contract is safe usually lives in </w:t>
      </w:r>
      <w:r>
        <w:rPr>
          <w:b w:val="0"/>
          <w:i/>
          <w:sz w:val="20"/>
        </w:rPr>
        <w:t>other</w:t>
      </w:r>
      <w:r>
        <w:rPr>
          <w:b w:val="0"/>
          <w:i w:val="0"/>
          <w:sz w:val="20"/>
        </w:rPr>
        <w:t xml:space="preserve"> documents (promises AtliQ made in earlier contracts, past negotiation positions, the other documents the deal needs), and none of it is recorded anywhere. Reviews are slow, conflicts are missed, and deals wait in a single-person queue.</w:t>
      </w:r>
    </w:p>
    <w:p>
      <w:pPr>
        <w:pStyle w:val="Heading1"/>
      </w:pPr>
      <w:r>
        <w:rPr>
          <w:b w:val="0"/>
          <w:i w:val="0"/>
        </w:rPr>
        <w:t>1. Executive Summary</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c>
          <w:tcPr>
            <w:tcW w:type="dxa" w:w="2656"/>
            <w:shd w:val="clear" w:color="auto" w:fill="EEF3F9"/>
          </w:tcPr>
          <w:p>
            <w:pPr>
              <w:spacing w:after="20" w:before="20"/>
            </w:pPr>
            <w:r>
              <w:rPr>
                <w:b/>
                <w:i w:val="0"/>
                <w:sz w:val="18"/>
              </w:rPr>
              <w:t>What are we building?</w:t>
            </w:r>
          </w:p>
        </w:tc>
        <w:tc>
          <w:tcPr>
            <w:tcW w:type="dxa" w:w="6703"/>
          </w:tcPr>
          <w:p>
            <w:pPr>
              <w:spacing w:after="20" w:before="20"/>
            </w:pPr>
            <w:r>
              <w:rPr>
                <w:b w:val="0"/>
                <w:i w:val="0"/>
                <w:sz w:val="18"/>
              </w:rPr>
              <w:t>Yours Legally, — an AI contract review assistant that gives AtliQ the memory it lacks. It builds a register of everything AtliQ has already promised, checks every incoming and outgoing contract against that register and AtliQ's own negotiation playbook, and hands the CEO a verdict-first, cited, decision-ready brief.</w:t>
            </w:r>
          </w:p>
        </w:tc>
      </w:tr>
      <w:tr>
        <w:tc>
          <w:tcPr>
            <w:tcW w:type="dxa" w:w="2656"/>
            <w:shd w:val="clear" w:color="auto" w:fill="EEF3F9"/>
          </w:tcPr>
          <w:p>
            <w:pPr>
              <w:spacing w:after="20" w:before="20"/>
            </w:pPr>
            <w:r>
              <w:rPr>
                <w:b/>
                <w:i w:val="0"/>
                <w:sz w:val="18"/>
              </w:rPr>
              <w:t>Why does it matter?</w:t>
            </w:r>
          </w:p>
        </w:tc>
        <w:tc>
          <w:tcPr>
            <w:tcW w:type="dxa" w:w="6703"/>
          </w:tcPr>
          <w:p>
            <w:pPr>
              <w:spacing w:after="20" w:before="20"/>
            </w:pPr>
            <w:r>
              <w:rPr>
                <w:b w:val="0"/>
                <w:i w:val="0"/>
                <w:sz w:val="18"/>
              </w:rPr>
              <w:t>7 of 12 deals in today's queue carry their decisive risk in a different document. One forgotten non-compete (Al Noor, 2025) blocks three live deals worth $230k. A contract signed on a phone in 4 minutes (Brightwater) cost $9k + $14.2k in legal fees. Every contract and NDA waits on one person: about 3 to 4 contracts and 4 to 5 NDAs a month, taking about 2 hours for a standard contract and 6 to 8 hours for a complex one, with 1 week to 1 month end to end.</w:t>
            </w:r>
          </w:p>
        </w:tc>
      </w:tr>
      <w:tr>
        <w:tc>
          <w:tcPr>
            <w:tcW w:type="dxa" w:w="2656"/>
            <w:shd w:val="clear" w:color="auto" w:fill="EEF3F9"/>
          </w:tcPr>
          <w:p>
            <w:pPr>
              <w:spacing w:after="20" w:before="20"/>
            </w:pPr>
            <w:r>
              <w:rPr>
                <w:b/>
                <w:i w:val="0"/>
                <w:sz w:val="18"/>
              </w:rPr>
              <w:t>Who is it for?</w:t>
            </w:r>
          </w:p>
        </w:tc>
        <w:tc>
          <w:tcPr>
            <w:tcW w:type="dxa" w:w="6703"/>
          </w:tcPr>
          <w:p>
            <w:pPr>
              <w:spacing w:after="20" w:before="20"/>
            </w:pPr>
            <w:r>
              <w:rPr>
                <w:b/>
                <w:i w:val="0"/>
                <w:sz w:val="18"/>
              </w:rPr>
              <w:t>Primary:</w:t>
            </w:r>
            <w:r>
              <w:rPr>
                <w:b w:val="0"/>
                <w:i w:val="0"/>
                <w:sz w:val="18"/>
              </w:rPr>
              <w:t xml:space="preserve"> Karandeep, CEO and the only reviewer and signer. </w:t>
            </w:r>
            <w:r>
              <w:rPr>
                <w:b/>
                <w:i w:val="0"/>
                <w:sz w:val="18"/>
              </w:rPr>
              <w:t>Secondary:</w:t>
            </w:r>
            <w:r>
              <w:rPr>
                <w:b w:val="0"/>
                <w:i w:val="0"/>
                <w:sz w:val="18"/>
              </w:rPr>
              <w:t xml:space="preserve"> sellers (Bhavin, Dhaval, Jay), who bring deals in, make commercial promises, and wait on contracts to close.</w:t>
            </w:r>
          </w:p>
        </w:tc>
      </w:tr>
      <w:tr>
        <w:tc>
          <w:tcPr>
            <w:tcW w:type="dxa" w:w="2656"/>
            <w:shd w:val="clear" w:color="auto" w:fill="EEF3F9"/>
          </w:tcPr>
          <w:p>
            <w:pPr>
              <w:spacing w:after="20" w:before="20"/>
            </w:pPr>
            <w:r>
              <w:rPr>
                <w:b/>
                <w:i w:val="0"/>
                <w:sz w:val="18"/>
              </w:rPr>
              <w:t>How will we know it worked?</w:t>
            </w:r>
          </w:p>
        </w:tc>
        <w:tc>
          <w:tcPr>
            <w:tcW w:type="dxa" w:w="6703"/>
          </w:tcPr>
          <w:p>
            <w:pPr>
              <w:spacing w:after="20" w:before="20"/>
            </w:pPr>
            <w:r>
              <w:rPr>
                <w:b/>
                <w:i w:val="0"/>
                <w:sz w:val="18"/>
              </w:rPr>
              <w:t>North Star: Decide-from-brief rate.</w:t>
            </w:r>
            <w:r>
              <w:rPr>
                <w:b w:val="0"/>
                <w:i w:val="0"/>
                <w:sz w:val="18"/>
              </w:rPr>
              <w:t xml:space="preserve"> ≥90% of brief versions are ones Karandeep decides from without digging: correct verdict, no missed or wrongly flagged blocker, no need to re-read the contract or search for context. Briefs arrive in minutes (NDA &lt;1 min, MSA &lt;10 min). Baseline today: about 2 hours of CEO review per standard contract and 6 to 8 hours (2 to 3 passes) for a complex one; 1 week to 1 month end to end.</w:t>
            </w:r>
          </w:p>
        </w:tc>
      </w:tr>
      <w:tr>
        <w:tc>
          <w:tcPr>
            <w:tcW w:type="dxa" w:w="2656"/>
            <w:shd w:val="clear" w:color="auto" w:fill="EEF3F9"/>
          </w:tcPr>
          <w:p>
            <w:pPr>
              <w:spacing w:after="20" w:before="20"/>
            </w:pPr>
            <w:r>
              <w:rPr>
                <w:b/>
                <w:i w:val="0"/>
                <w:sz w:val="18"/>
              </w:rPr>
              <w:t>Target launch</w:t>
            </w:r>
          </w:p>
        </w:tc>
        <w:tc>
          <w:tcPr>
            <w:tcW w:type="dxa" w:w="6703"/>
          </w:tcPr>
          <w:p>
            <w:pPr>
              <w:spacing w:after="20" w:before="20"/>
            </w:pPr>
            <w:r>
              <w:rPr>
                <w:b w:val="0"/>
                <w:i w:val="0"/>
                <w:sz w:val="18"/>
              </w:rPr>
              <w:t>Prototype: built and evaluated on the dataset. Pilot: shadow mode on all new contracts for 4 weeks, then assisted review (see §14).</w:t>
            </w:r>
          </w:p>
        </w:tc>
      </w:tr>
    </w:tbl>
    <w:p>
      <w:pPr>
        <w:spacing w:after="40"/>
      </w:pPr>
    </w:p>
    <w:p>
      <w:pPr>
        <w:pStyle w:val="Heading1"/>
      </w:pPr>
      <w:r>
        <w:rPr>
          <w:b w:val="0"/>
          <w:i w:val="0"/>
        </w:rPr>
        <w:t>2. Problem Statement and Background</w:t>
      </w:r>
    </w:p>
    <w:p>
      <w:r>
        <w:rPr>
          <w:b/>
          <w:i w:val="0"/>
        </w:rPr>
        <w:t>Who performs this process manually today?</w:t>
      </w:r>
      <w:r>
        <w:rPr>
          <w:b w:val="0"/>
          <w:i w:val="0"/>
        </w:rPr>
        <w:t xml:space="preserve"> Karandeep (CEO) reviews and signs every contract, from every side of the table: as supplier (client MSAs/SOWs, usually on the client's paper), as buyer (AtliQ's paper for agencies and freelancers), as partner (platform partnerships), and on both sides of NDAs. Sellers (Bhavin, Dhaval, Jay) bring contracts in and check scope only. Pranav (CTO) confirms staffing and reuse. Outside counsel (Mehta Rao in India, Calloway Stern in the US) is called in occasionally, at lakhs of rupees and ~a week per matter.</w:t>
      </w:r>
    </w:p>
    <w:p>
      <w:pPr>
        <w:pStyle w:val="Heading2"/>
      </w:pPr>
      <w:r>
        <w:rPr>
          <w:b w:val="0"/>
          <w:i w:val="0"/>
        </w:rPr>
        <w:t>2.1 Current State</w:t>
      </w:r>
    </w:p>
    <w:p>
      <w:r>
        <w:rPr>
          <w:b/>
          <w:i w:val="0"/>
        </w:rPr>
        <w:t>Trigger:</w:t>
      </w:r>
      <w:r>
        <w:rPr>
          <w:b w:val="0"/>
          <w:i w:val="0"/>
        </w:rPr>
        <w:t xml:space="preserve"> a contract draft arrives by email (client paper), or a seller drafts AtliQ paper from whatever file is at hand. The deadline lives in a tracker note or someone's head.</w:t>
      </w:r>
    </w:p>
    <w:p>
      <w:pPr>
        <w:pStyle w:val="ListParagraph"/>
        <w:spacing w:after="40"/>
      </w:pPr>
      <w:r>
        <w:rPr>
          <w:b w:val="0"/>
          <w:i w:val="0"/>
        </w:rPr>
        <w:t xml:space="preserve">1. </w:t>
      </w:r>
      <w:r>
        <w:rPr>
          <w:b/>
          <w:i w:val="0"/>
        </w:rPr>
        <w:t>Received:</w:t>
      </w:r>
      <w:r>
        <w:rPr>
          <w:b w:val="0"/>
          <w:i w:val="0"/>
        </w:rPr>
        <w:t xml:space="preserve"> the draft lands in a seller's or Karandeep's inbox; the tracker is updated occasionally (often blank: entity, status, restrictions).</w:t>
      </w:r>
    </w:p>
    <w:p>
      <w:pPr>
        <w:pStyle w:val="ListParagraph"/>
        <w:spacing w:after="40"/>
      </w:pPr>
      <w:r>
        <w:rPr>
          <w:b w:val="0"/>
          <w:i w:val="0"/>
        </w:rPr>
        <w:t xml:space="preserve">2. </w:t>
      </w:r>
      <w:r>
        <w:rPr>
          <w:b/>
          <w:i w:val="0"/>
        </w:rPr>
        <w:t>Triage:</w:t>
      </w:r>
      <w:r>
        <w:rPr>
          <w:b w:val="0"/>
          <w:i w:val="0"/>
        </w:rPr>
        <w:t xml:space="preserve"> no owner, order or SLA; sellers chase Karandeep in parallel (three on the same morning, 22 Sep).</w:t>
      </w:r>
    </w:p>
    <w:p>
      <w:pPr>
        <w:pStyle w:val="ListParagraph"/>
        <w:spacing w:after="40"/>
      </w:pPr>
      <w:r>
        <w:rPr>
          <w:b w:val="0"/>
          <w:i w:val="0"/>
        </w:rPr>
        <w:t xml:space="preserve">3. </w:t>
      </w:r>
      <w:r>
        <w:rPr>
          <w:b/>
          <w:i w:val="0"/>
        </w:rPr>
        <w:t>Context gathering:</w:t>
      </w:r>
      <w:r>
        <w:rPr>
          <w:b w:val="0"/>
          <w:i w:val="0"/>
        </w:rPr>
        <w:t xml:space="preserve"> Karandeep searches inboxes, laptops and drives for related contracts (20 minutes to find Al Noor during a counsel call), or relies on memory ("I think the rest are ok").</w:t>
      </w:r>
    </w:p>
    <w:p>
      <w:pPr>
        <w:pStyle w:val="ListParagraph"/>
        <w:spacing w:after="40"/>
      </w:pPr>
      <w:r>
        <w:rPr>
          <w:b w:val="0"/>
          <w:i w:val="0"/>
        </w:rPr>
        <w:t xml:space="preserve">4. </w:t>
      </w:r>
      <w:r>
        <w:rPr>
          <w:b/>
          <w:i w:val="0"/>
        </w:rPr>
        <w:t>Review:</w:t>
      </w:r>
      <w:r>
        <w:rPr>
          <w:b w:val="0"/>
          <w:i w:val="0"/>
        </w:rPr>
        <w:t xml:space="preserve"> read late at night against a half-page 2024 checklist; about 2 hours per standard contract, 6 to 8 hours over 2 to 3 passes for a complex one; NDAs signed "if mutual" based on the title.</w:t>
      </w:r>
    </w:p>
    <w:p>
      <w:pPr>
        <w:pStyle w:val="ListParagraph"/>
        <w:spacing w:after="40"/>
      </w:pPr>
      <w:r>
        <w:rPr>
          <w:b w:val="0"/>
          <w:i w:val="0"/>
        </w:rPr>
        <w:t xml:space="preserve">5. </w:t>
      </w:r>
      <w:r>
        <w:rPr>
          <w:b/>
          <w:i w:val="0"/>
        </w:rPr>
        <w:t>Negotiate:</w:t>
      </w:r>
      <w:r>
        <w:rPr>
          <w:b w:val="0"/>
          <w:i w:val="0"/>
        </w:rPr>
        <w:t xml:space="preserve"> redlines from memory of old email threads; counsel only for big deals, often too late.</w:t>
      </w:r>
    </w:p>
    <w:p>
      <w:pPr>
        <w:pStyle w:val="ListParagraph"/>
        <w:spacing w:after="40"/>
      </w:pPr>
      <w:r>
        <w:rPr>
          <w:b w:val="0"/>
          <w:i w:val="0"/>
        </w:rPr>
        <w:t xml:space="preserve">6. </w:t>
      </w:r>
      <w:r>
        <w:rPr>
          <w:b/>
          <w:i w:val="0"/>
        </w:rPr>
        <w:t>Sign:</w:t>
      </w:r>
      <w:r>
        <w:rPr>
          <w:b w:val="0"/>
          <w:i w:val="0"/>
        </w:rPr>
        <w:t xml:space="preserve"> sometimes from a phone under deadline pressure.</w:t>
      </w:r>
    </w:p>
    <w:p>
      <w:pPr>
        <w:pStyle w:val="ListParagraph"/>
        <w:spacing w:after="40"/>
      </w:pPr>
      <w:r>
        <w:rPr>
          <w:b w:val="0"/>
          <w:i w:val="0"/>
        </w:rPr>
        <w:t xml:space="preserve">7. </w:t>
      </w:r>
      <w:r>
        <w:rPr>
          <w:b/>
          <w:i w:val="0"/>
        </w:rPr>
        <w:t>After signing:</w:t>
      </w:r>
      <w:r>
        <w:rPr>
          <w:b w:val="0"/>
          <w:i w:val="0"/>
        </w:rPr>
        <w:t xml:space="preserve"> the file is saved wherever; new obligations are never recorded, so the next review starts blind again.</w:t>
      </w:r>
    </w:p>
    <w:p>
      <w:pPr>
        <w:pStyle w:val="Heading2"/>
      </w:pPr>
      <w:r>
        <w:rPr>
          <w:b w:val="0"/>
          <w:i w:val="0"/>
        </w:rPr>
        <w:t>2.2 Pain Points</w:t>
      </w:r>
    </w:p>
    <w:p>
      <w:pPr>
        <w:pStyle w:val="ListParagraph"/>
        <w:numPr>
          <w:ilvl w:val="0"/>
          <w:numId w:val="90"/>
        </w:numPr>
        <w:spacing w:after="40"/>
      </w:pPr>
      <w:r>
        <w:rPr>
          <w:b/>
          <w:i w:val="0"/>
        </w:rPr>
        <w:t>The decisive risk sits in documents nobody checks.</w:t>
      </w:r>
      <w:r>
        <w:rPr>
          <w:b w:val="0"/>
          <w:i w:val="0"/>
        </w:rPr>
        <w:t xml:space="preserve"> Promises in older contracts (a GCC hotel non-compete to ~2029, most-favoured pricing to 2027, a platform exclusivity to 2028, a client owning reusable code) silently block six of today's deals.</w:t>
      </w:r>
    </w:p>
    <w:p>
      <w:pPr>
        <w:pStyle w:val="ListParagraph"/>
        <w:numPr>
          <w:ilvl w:val="0"/>
          <w:numId w:val="90"/>
        </w:numPr>
        <w:spacing w:after="40"/>
      </w:pPr>
      <w:r>
        <w:rPr>
          <w:b/>
          <w:i w:val="0"/>
        </w:rPr>
        <w:t>Precedent lives only in memory.</w:t>
      </w:r>
      <w:r>
        <w:rPr>
          <w:b w:val="0"/>
          <w:i w:val="0"/>
        </w:rPr>
        <w:t xml:space="preserve"> Deliberate exceptions (Al Noor's 10% LD cap, "not our new standard") and accidents (Brightwater, Meridian) look identical on paper.</w:t>
      </w:r>
    </w:p>
    <w:p>
      <w:pPr>
        <w:pStyle w:val="ListParagraph"/>
        <w:numPr>
          <w:ilvl w:val="0"/>
          <w:numId w:val="90"/>
        </w:numPr>
        <w:spacing w:after="40"/>
      </w:pPr>
      <w:r>
        <w:rPr>
          <w:b/>
          <w:i w:val="0"/>
        </w:rPr>
        <w:t>No checklist of what a deal needs.</w:t>
      </w:r>
      <w:r>
        <w:rPr>
          <w:b w:val="0"/>
          <w:i w:val="0"/>
        </w:rPr>
        <w:t xml:space="preserve"> Harrington's patient data reached Pune before any BAA existed; insurance asked ($5M) vs held ($1M) was never raised.</w:t>
      </w:r>
    </w:p>
    <w:p>
      <w:pPr>
        <w:pStyle w:val="ListParagraph"/>
        <w:numPr>
          <w:ilvl w:val="0"/>
          <w:numId w:val="90"/>
        </w:numPr>
        <w:spacing w:after="40"/>
      </w:pPr>
      <w:r>
        <w:rPr>
          <w:b/>
          <w:i w:val="0"/>
        </w:rPr>
        <w:t>Basic rules aren't applied consistently.</w:t>
      </w:r>
      <w:r>
        <w:rPr>
          <w:b w:val="0"/>
          <w:i w:val="0"/>
        </w:rPr>
        <w:t xml:space="preserve"> The wrong AtliQ entity for the client's country; "mutual" NDAs that aren't.</w:t>
      </w:r>
    </w:p>
    <w:p>
      <w:pPr>
        <w:pStyle w:val="ListParagraph"/>
        <w:numPr>
          <w:ilvl w:val="0"/>
          <w:numId w:val="90"/>
        </w:numPr>
        <w:spacing w:after="40"/>
      </w:pPr>
      <w:r>
        <w:rPr>
          <w:b/>
          <w:i w:val="0"/>
        </w:rPr>
        <w:t>AtliQ's own paper breaks AtliQ's own standard.</w:t>
      </w:r>
      <w:r>
        <w:rPr>
          <w:b w:val="0"/>
          <w:i w:val="0"/>
        </w:rPr>
        <w:t xml:space="preserve"> Vendor templates carry terms Karandeep rejects as a supplier and don't pass client obligations down.</w:t>
      </w:r>
    </w:p>
    <w:p>
      <w:pPr>
        <w:pStyle w:val="ListParagraph"/>
        <w:numPr>
          <w:ilvl w:val="0"/>
          <w:numId w:val="90"/>
        </w:numPr>
        <w:spacing w:after="40"/>
      </w:pPr>
      <w:r>
        <w:rPr>
          <w:b/>
          <w:i w:val="0"/>
        </w:rPr>
        <w:t>Single-person queue.</w:t>
      </w:r>
      <w:r>
        <w:rPr>
          <w:b w:val="0"/>
          <w:i w:val="0"/>
        </w:rPr>
        <w:t xml:space="preserve"> One reviewer for every contract and NDA; ShopSwift's SOW waited 9 days and the client's budget slipped a quarter.</w:t>
      </w:r>
    </w:p>
    <w:p>
      <w:pPr>
        <w:pStyle w:val="Heading2"/>
      </w:pPr>
      <w:r>
        <w:rPr>
          <w:b w:val="0"/>
          <w:i w:val="0"/>
        </w:rPr>
        <w:t>2.3 Business Impact and Why Now</w:t>
      </w:r>
    </w:p>
    <w:p>
      <w:r>
        <w:rPr>
          <w:b/>
          <w:i w:val="0"/>
        </w:rPr>
        <w:t>Cost of the status quo</w:t>
      </w:r>
    </w:p>
    <w:p>
      <w:pPr>
        <w:pStyle w:val="ListParagraph"/>
        <w:numPr>
          <w:ilvl w:val="0"/>
          <w:numId w:val="90"/>
        </w:numPr>
        <w:spacing w:after="40"/>
      </w:pPr>
      <w:r>
        <w:rPr>
          <w:b w:val="0"/>
          <w:i w:val="0"/>
        </w:rPr>
        <w:t>Direct losses: Brightwater settlement $9,000 + Calloway Stern $14,200 + ~2 weeks of senior time.</w:t>
      </w:r>
    </w:p>
    <w:p>
      <w:pPr>
        <w:pStyle w:val="ListParagraph"/>
        <w:numPr>
          <w:ilvl w:val="0"/>
          <w:numId w:val="90"/>
        </w:numPr>
        <w:spacing w:after="40"/>
      </w:pPr>
      <w:r>
        <w:rPr>
          <w:b w:val="0"/>
          <w:i w:val="0"/>
        </w:rPr>
        <w:t>Revenue at risk today: $230k of deals (Gulf Crown $140k, TravelHub $52k, BlueOrchid $38k) collide with one 2025 non-compete; Lakeshore ($64k) would trigger retroactive repricing of Crestline.</w:t>
      </w:r>
    </w:p>
    <w:p>
      <w:pPr>
        <w:pStyle w:val="ListParagraph"/>
        <w:numPr>
          <w:ilvl w:val="0"/>
          <w:numId w:val="90"/>
        </w:numPr>
        <w:spacing w:after="40"/>
      </w:pPr>
      <w:r>
        <w:rPr>
          <w:b w:val="0"/>
          <w:i w:val="0"/>
        </w:rPr>
        <w:t>Counsel: ₹1.2L and 5–7 working days for one Gulf Crown review, made slower by incomplete document packs.</w:t>
      </w:r>
    </w:p>
    <w:p>
      <w:pPr>
        <w:pStyle w:val="ListParagraph"/>
        <w:numPr>
          <w:ilvl w:val="0"/>
          <w:numId w:val="90"/>
        </w:numPr>
        <w:spacing w:after="40"/>
      </w:pPr>
      <w:r>
        <w:rPr>
          <w:b w:val="0"/>
          <w:i w:val="0"/>
        </w:rPr>
        <w:t>Opportunity cost: every hour Karandeep spends reading contracts is an hour not selling or running AtliQ; deals lost to the queue (ShopSwift).</w:t>
      </w:r>
    </w:p>
    <w:p>
      <w:pPr>
        <w:pStyle w:val="ListParagraph"/>
        <w:numPr>
          <w:ilvl w:val="0"/>
          <w:numId w:val="90"/>
        </w:numPr>
        <w:spacing w:after="40"/>
      </w:pPr>
      <w:r>
        <w:rPr>
          <w:b w:val="0"/>
          <w:i w:val="0"/>
        </w:rPr>
        <w:t>Compliance exposure: a live patient-data issue (Harrington) that no contract review would have caught.</w:t>
      </w:r>
    </w:p>
    <w:p>
      <w:r>
        <w:rPr>
          <w:b/>
          <w:i w:val="0"/>
        </w:rPr>
        <w:t>Why now</w:t>
      </w:r>
    </w:p>
    <w:p>
      <w:pPr>
        <w:pStyle w:val="ListParagraph"/>
        <w:numPr>
          <w:ilvl w:val="0"/>
          <w:numId w:val="90"/>
        </w:numPr>
        <w:spacing w:after="40"/>
      </w:pPr>
      <w:r>
        <w:rPr>
          <w:b w:val="0"/>
          <w:i w:val="0"/>
        </w:rPr>
        <w:t>Volume grew from about 5 to about 8 to 9 documents a month in a year (3 to 4 contracts and 4 to 5 NDAs), and keeps growing. Real contracts run 10 to 15 pages.</w:t>
      </w:r>
    </w:p>
    <w:p>
      <w:pPr>
        <w:pStyle w:val="ListParagraph"/>
        <w:numPr>
          <w:ilvl w:val="0"/>
          <w:numId w:val="90"/>
        </w:numPr>
        <w:spacing w:after="40"/>
      </w:pPr>
      <w:r>
        <w:rPr>
          <w:b w:val="0"/>
          <w:i w:val="0"/>
        </w:rPr>
        <w:t>Seven deals worth ~$600k are queued with deadlines in the next two weeks (22 Sep meeting).</w:t>
      </w:r>
    </w:p>
    <w:p>
      <w:pPr>
        <w:pStyle w:val="ListParagraph"/>
        <w:numPr>
          <w:ilvl w:val="0"/>
          <w:numId w:val="90"/>
        </w:numPr>
        <w:spacing w:after="40"/>
      </w:pPr>
      <w:r>
        <w:rPr>
          <w:b w:val="0"/>
          <w:i w:val="0"/>
        </w:rPr>
        <w:t>The Brightwater post-mortem promised "no more signing on the phone" but changed nothing structural.</w:t>
      </w:r>
    </w:p>
    <w:p>
      <w:pPr>
        <w:pStyle w:val="ListParagraph"/>
        <w:numPr>
          <w:ilvl w:val="0"/>
          <w:numId w:val="90"/>
        </w:numPr>
        <w:spacing w:after="40"/>
      </w:pPr>
      <w:r>
        <w:rPr>
          <w:b w:val="0"/>
          <w:i w:val="0"/>
        </w:rPr>
        <w:t>Counsel explicitly asked for "every signed contract with restrictive covenants, exclusivity or MFN"; AtliQ can't produce that list.</w:t>
      </w:r>
    </w:p>
    <w:p>
      <w:pPr>
        <w:pStyle w:val="Heading2"/>
      </w:pPr>
      <w:r>
        <w:rPr>
          <w:b w:val="0"/>
          <w:i w:val="0"/>
        </w:rPr>
        <w:t>2.4 Job To Be Done Framing</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40"/>
        <w:gridCol w:w="5137"/>
        <w:gridCol w:w="2982"/>
      </w:tblGrid>
      <w:tr>
        <w:trPr>
          <w:tblHeader/>
        </w:trPr>
        <w:tc>
          <w:tcPr>
            <w:tcW w:type="dxa" w:w="1240"/>
            <w:shd w:val="clear" w:color="auto" w:fill="DCE6F2"/>
          </w:tcPr>
          <w:p>
            <w:pPr>
              <w:spacing w:after="20" w:before="20"/>
            </w:pPr>
          </w:p>
        </w:tc>
        <w:tc>
          <w:tcPr>
            <w:tcW w:type="dxa" w:w="5137"/>
            <w:shd w:val="clear" w:color="auto" w:fill="DCE6F2"/>
          </w:tcPr>
          <w:p>
            <w:pPr>
              <w:spacing w:after="20" w:before="20"/>
            </w:pPr>
            <w:r>
              <w:rPr>
                <w:b/>
                <w:i w:val="0"/>
                <w:sz w:val="18"/>
              </w:rPr>
              <w:t>Karandeep (primary)</w:t>
            </w:r>
          </w:p>
        </w:tc>
        <w:tc>
          <w:tcPr>
            <w:tcW w:type="dxa" w:w="2982"/>
            <w:shd w:val="clear" w:color="auto" w:fill="DCE6F2"/>
          </w:tcPr>
          <w:p>
            <w:pPr>
              <w:spacing w:after="20" w:before="20"/>
            </w:pPr>
            <w:r>
              <w:rPr>
                <w:b/>
                <w:i w:val="0"/>
                <w:sz w:val="18"/>
              </w:rPr>
              <w:t>Sellers (secondary)</w:t>
            </w:r>
          </w:p>
        </w:tc>
      </w:tr>
      <w:tr>
        <w:tc>
          <w:tcPr>
            <w:tcW w:type="dxa" w:w="1240"/>
          </w:tcPr>
          <w:p>
            <w:pPr>
              <w:spacing w:after="20" w:before="20"/>
            </w:pPr>
            <w:r>
              <w:rPr>
                <w:b/>
                <w:i w:val="0"/>
                <w:sz w:val="18"/>
              </w:rPr>
              <w:t>Job to be done</w:t>
            </w:r>
          </w:p>
        </w:tc>
        <w:tc>
          <w:tcPr>
            <w:tcW w:type="dxa" w:w="5137"/>
          </w:tcPr>
          <w:p>
            <w:pPr>
              <w:spacing w:after="20" w:before="20"/>
            </w:pPr>
            <w:r>
              <w:rPr>
                <w:b/>
                <w:i w:val="0"/>
                <w:sz w:val="18"/>
              </w:rPr>
              <w:t>When</w:t>
            </w:r>
            <w:r>
              <w:rPr>
                <w:b w:val="0"/>
                <w:i w:val="0"/>
                <w:sz w:val="18"/>
              </w:rPr>
              <w:t xml:space="preserve"> a contract lands in my queue, </w:t>
            </w:r>
            <w:r>
              <w:rPr>
                <w:b/>
                <w:i w:val="0"/>
                <w:sz w:val="18"/>
              </w:rPr>
              <w:t>help me</w:t>
            </w:r>
            <w:r>
              <w:rPr>
                <w:b w:val="0"/>
                <w:i w:val="0"/>
                <w:sz w:val="18"/>
              </w:rPr>
              <w:t xml:space="preserve"> see quickly whether it's safe to sign given everything AtliQ has already promised and how we've negotiated before, </w:t>
            </w:r>
            <w:r>
              <w:rPr>
                <w:b/>
                <w:i w:val="0"/>
                <w:sz w:val="18"/>
              </w:rPr>
              <w:t>so that I can</w:t>
            </w:r>
            <w:r>
              <w:rPr>
                <w:b w:val="0"/>
                <w:i w:val="0"/>
                <w:sz w:val="18"/>
              </w:rPr>
              <w:t xml:space="preserve"> decide and sign with confidence without spending my evening reconstructing history.</w:t>
            </w:r>
          </w:p>
        </w:tc>
        <w:tc>
          <w:tcPr>
            <w:tcW w:type="dxa" w:w="2982"/>
          </w:tcPr>
          <w:p>
            <w:pPr>
              <w:spacing w:after="20" w:before="20"/>
            </w:pPr>
            <w:r>
              <w:rPr>
                <w:b/>
                <w:i w:val="0"/>
                <w:sz w:val="18"/>
              </w:rPr>
              <w:t>When</w:t>
            </w:r>
            <w:r>
              <w:rPr>
                <w:b w:val="0"/>
                <w:i w:val="0"/>
                <w:sz w:val="18"/>
              </w:rPr>
              <w:t xml:space="preserve"> I'm shaping a deal, </w:t>
            </w:r>
            <w:r>
              <w:rPr>
                <w:b/>
                <w:i w:val="0"/>
                <w:sz w:val="18"/>
              </w:rPr>
              <w:t>help me</w:t>
            </w:r>
            <w:r>
              <w:rPr>
                <w:b w:val="0"/>
                <w:i w:val="0"/>
                <w:sz w:val="18"/>
              </w:rPr>
              <w:t xml:space="preserve"> know which past commitments and paperwork affect it before I promise the client anything, </w:t>
            </w:r>
            <w:r>
              <w:rPr>
                <w:b/>
                <w:i w:val="0"/>
                <w:sz w:val="18"/>
              </w:rPr>
              <w:t>so that I can</w:t>
            </w:r>
            <w:r>
              <w:rPr>
                <w:b w:val="0"/>
                <w:i w:val="0"/>
                <w:sz w:val="18"/>
              </w:rPr>
              <w:t xml:space="preserve"> close on the client's timeline without creating risk Karandeep has to unwind.</w:t>
            </w:r>
          </w:p>
        </w:tc>
      </w:tr>
      <w:tr>
        <w:tc>
          <w:tcPr>
            <w:tcW w:type="dxa" w:w="1240"/>
          </w:tcPr>
          <w:p>
            <w:pPr>
              <w:spacing w:after="20" w:before="20"/>
            </w:pPr>
            <w:r>
              <w:rPr>
                <w:b/>
                <w:i w:val="0"/>
                <w:sz w:val="18"/>
              </w:rPr>
              <w:t>Trigger</w:t>
            </w:r>
          </w:p>
        </w:tc>
        <w:tc>
          <w:tcPr>
            <w:tcW w:type="dxa" w:w="5137"/>
          </w:tcPr>
          <w:p>
            <w:pPr>
              <w:spacing w:after="20" w:before="20"/>
            </w:pPr>
            <w:r>
              <w:rPr>
                <w:b w:val="0"/>
                <w:i w:val="0"/>
                <w:sz w:val="18"/>
              </w:rPr>
              <w:t>A draft arrives (client paper), or AtliQ paper is about to be sent.</w:t>
            </w:r>
          </w:p>
        </w:tc>
        <w:tc>
          <w:tcPr>
            <w:tcW w:type="dxa" w:w="2982"/>
          </w:tcPr>
          <w:p>
            <w:pPr>
              <w:spacing w:after="20" w:before="20"/>
            </w:pPr>
            <w:r>
              <w:rPr>
                <w:b w:val="0"/>
                <w:i w:val="0"/>
                <w:sz w:val="18"/>
              </w:rPr>
              <w:t>A new deal opens, or deal facts change (rate, scope, sites, tools, staffing).</w:t>
            </w:r>
          </w:p>
        </w:tc>
      </w:tr>
      <w:tr>
        <w:tc>
          <w:tcPr>
            <w:tcW w:type="dxa" w:w="1240"/>
          </w:tcPr>
          <w:p>
            <w:pPr>
              <w:spacing w:after="20" w:before="20"/>
            </w:pPr>
            <w:r>
              <w:rPr>
                <w:b/>
                <w:i w:val="0"/>
                <w:sz w:val="18"/>
              </w:rPr>
              <w:t>Outcome</w:t>
            </w:r>
          </w:p>
        </w:tc>
        <w:tc>
          <w:tcPr>
            <w:tcW w:type="dxa" w:w="5137"/>
          </w:tcPr>
          <w:p>
            <w:pPr>
              <w:spacing w:after="20" w:before="20"/>
            </w:pPr>
            <w:r>
              <w:rPr>
                <w:b w:val="0"/>
                <w:i w:val="0"/>
                <w:sz w:val="18"/>
              </w:rPr>
              <w:t>A brief he can decide from without re-reading the contract, ready in minutes (NDA &lt;1 min, MSA &lt;10 min); a contract decision in under 30 minutes of his time instead of about 2 hours (6 to 8 for complex contracts). If inputs are missing, the brief says exactly what and who must provide it.</w:t>
            </w:r>
          </w:p>
        </w:tc>
        <w:tc>
          <w:tcPr>
            <w:tcW w:type="dxa" w:w="2982"/>
          </w:tcPr>
          <w:p>
            <w:pPr>
              <w:spacing w:after="20" w:before="20"/>
            </w:pPr>
            <w:r>
              <w:rPr>
                <w:b w:val="0"/>
                <w:i w:val="0"/>
                <w:sz w:val="18"/>
              </w:rPr>
              <w:t>A green/amber/red heads-up in under a minute, with the clause behind every flag.</w:t>
            </w:r>
          </w:p>
        </w:tc>
      </w:tr>
      <w:tr>
        <w:tc>
          <w:tcPr>
            <w:tcW w:type="dxa" w:w="1240"/>
          </w:tcPr>
          <w:p>
            <w:pPr>
              <w:spacing w:after="20" w:before="20"/>
            </w:pPr>
            <w:r>
              <w:rPr>
                <w:b/>
                <w:i w:val="0"/>
                <w:sz w:val="18"/>
              </w:rPr>
              <w:t>Why AI is justified</w:t>
            </w:r>
          </w:p>
        </w:tc>
        <w:tc>
          <w:tcPr>
            <w:tcW w:type="dxa" w:w="5137"/>
          </w:tcPr>
          <w:p>
            <w:pPr>
              <w:spacing w:after="20" w:before="20"/>
            </w:pPr>
            <w:r>
              <w:rPr>
                <w:b w:val="0"/>
                <w:i w:val="0"/>
                <w:sz w:val="18"/>
              </w:rPr>
              <w:t xml:space="preserve">Judging collisions means reading definitions across documents ("Affiliate", "Hospitality Business", "in the GCC"), not matching keywords. "Non-compete" doesn't even appear in the Al Noor clause. Mutuality, fairness and flow-down are semantic judgments. Volume and document length make manual review the bottleneck. </w:t>
            </w:r>
            <w:r>
              <w:rPr>
                <w:b/>
                <w:i w:val="0"/>
                <w:sz w:val="18"/>
              </w:rPr>
              <w:t>Where a rule works, we use a rule:</w:t>
            </w:r>
            <w:r>
              <w:rPr>
                <w:b w:val="0"/>
                <w:i w:val="0"/>
                <w:sz w:val="18"/>
              </w:rPr>
              <w:t xml:space="preserve"> entity/law/payment/caps/required documents are deterministic once AI extracts the facts.</w:t>
            </w:r>
          </w:p>
        </w:tc>
        <w:tc>
          <w:tcPr>
            <w:tcW w:type="dxa" w:w="2982"/>
          </w:tcPr>
          <w:p>
            <w:pPr>
              <w:spacing w:after="20" w:before="20"/>
            </w:pPr>
            <w:r>
              <w:rPr>
                <w:b w:val="0"/>
                <w:i w:val="0"/>
                <w:sz w:val="18"/>
              </w:rPr>
              <w:t>Answering "can I reuse what we built for hotel X?" requires mapping a plain-language plan onto IP, confidentiality, restriction and data-use clauses across contracts. The register makes this a cheap lookup instead of a re-read.</w:t>
            </w:r>
          </w:p>
        </w:tc>
      </w:tr>
    </w:tbl>
    <w:p>
      <w:pPr>
        <w:spacing w:after="40"/>
      </w:pPr>
    </w:p>
    <w:p>
      <w:pPr>
        <w:pStyle w:val="Heading1"/>
      </w:pPr>
      <w:r>
        <w:rPr>
          <w:b w:val="0"/>
          <w:i w:val="0"/>
        </w:rPr>
        <w:t>3. Opportunity and AI Capability Mapping</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44"/>
        <w:gridCol w:w="5015"/>
      </w:tblGrid>
      <w:tr>
        <w:trPr>
          <w:tblHeader/>
        </w:trPr>
        <w:tc>
          <w:tcPr>
            <w:tcW w:type="dxa" w:w="4344"/>
            <w:shd w:val="clear" w:color="auto" w:fill="DCE6F2"/>
          </w:tcPr>
          <w:p>
            <w:pPr>
              <w:spacing w:after="20" w:before="20"/>
            </w:pPr>
            <w:r>
              <w:rPr>
                <w:b/>
                <w:i w:val="0"/>
                <w:sz w:val="18"/>
              </w:rPr>
              <w:t>Opportunity</w:t>
            </w:r>
          </w:p>
        </w:tc>
        <w:tc>
          <w:tcPr>
            <w:tcW w:type="dxa" w:w="5015"/>
            <w:shd w:val="clear" w:color="auto" w:fill="DCE6F2"/>
          </w:tcPr>
          <w:p>
            <w:pPr>
              <w:spacing w:after="20" w:before="20"/>
            </w:pPr>
            <w:r>
              <w:rPr>
                <w:b/>
                <w:i w:val="0"/>
                <w:sz w:val="18"/>
              </w:rPr>
              <w:t>AI capability used</w:t>
            </w:r>
          </w:p>
        </w:tc>
      </w:tr>
      <w:tr>
        <w:tc>
          <w:tcPr>
            <w:tcW w:type="dxa" w:w="4344"/>
          </w:tcPr>
          <w:p>
            <w:pPr>
              <w:spacing w:after="20" w:before="20"/>
            </w:pPr>
            <w:r>
              <w:rPr>
                <w:b w:val="0"/>
                <w:i w:val="0"/>
                <w:sz w:val="18"/>
              </w:rPr>
              <w:t>F1: build and maintain a register of every commitment in signed contracts</w:t>
            </w:r>
          </w:p>
        </w:tc>
        <w:tc>
          <w:tcPr>
            <w:tcW w:type="dxa" w:w="5015"/>
          </w:tcPr>
          <w:p>
            <w:pPr>
              <w:spacing w:after="20" w:before="20"/>
            </w:pPr>
            <w:r>
              <w:rPr>
                <w:b/>
                <w:i w:val="0"/>
                <w:sz w:val="18"/>
              </w:rPr>
              <w:t>Structured extraction</w:t>
            </w:r>
            <w:r>
              <w:rPr>
                <w:b w:val="0"/>
                <w:i w:val="0"/>
                <w:sz w:val="18"/>
              </w:rPr>
              <w:t xml:space="preserve"> (long-document LLM extraction to a fixed schema, with verbatim source quotes)</w:t>
            </w:r>
          </w:p>
        </w:tc>
      </w:tr>
      <w:tr>
        <w:tc>
          <w:tcPr>
            <w:tcW w:type="dxa" w:w="4344"/>
          </w:tcPr>
          <w:p>
            <w:pPr>
              <w:spacing w:after="20" w:before="20"/>
            </w:pPr>
            <w:r>
              <w:rPr>
                <w:b w:val="0"/>
                <w:i w:val="0"/>
                <w:sz w:val="18"/>
              </w:rPr>
              <w:t>F2: read each incoming file (PDF, Word, scan), classify, group and gate it; route NDAs to a fast lane</w:t>
            </w:r>
          </w:p>
        </w:tc>
        <w:tc>
          <w:tcPr>
            <w:tcW w:type="dxa" w:w="5015"/>
          </w:tcPr>
          <w:p>
            <w:pPr>
              <w:spacing w:after="20" w:before="20"/>
            </w:pPr>
            <w:r>
              <w:rPr>
                <w:b/>
                <w:i w:val="0"/>
                <w:sz w:val="18"/>
              </w:rPr>
              <w:t>Document reading</w:t>
            </w:r>
            <w:r>
              <w:rPr>
                <w:b w:val="0"/>
                <w:i w:val="0"/>
                <w:sz w:val="18"/>
              </w:rPr>
              <w:t xml:space="preserve"> (text layer; OCR for scans), </w:t>
            </w:r>
            <w:r>
              <w:rPr>
                <w:b/>
                <w:i w:val="0"/>
                <w:sz w:val="18"/>
              </w:rPr>
              <w:t>classification + extraction</w:t>
            </w:r>
            <w:r>
              <w:rPr>
                <w:b w:val="0"/>
                <w:i w:val="0"/>
                <w:sz w:val="18"/>
              </w:rPr>
              <w:t xml:space="preserve">, then </w:t>
            </w:r>
            <w:r>
              <w:rPr>
                <w:b/>
                <w:i w:val="0"/>
                <w:sz w:val="18"/>
              </w:rPr>
              <w:t>deterministic rules</w:t>
            </w:r>
          </w:p>
        </w:tc>
      </w:tr>
      <w:tr>
        <w:tc>
          <w:tcPr>
            <w:tcW w:type="dxa" w:w="4344"/>
          </w:tcPr>
          <w:p>
            <w:pPr>
              <w:spacing w:after="20" w:before="20"/>
            </w:pPr>
            <w:r>
              <w:rPr>
                <w:b w:val="0"/>
                <w:i w:val="0"/>
                <w:sz w:val="18"/>
              </w:rPr>
              <w:t>F3: detect collisions between a new contract/deal and live commitments</w:t>
            </w:r>
          </w:p>
        </w:tc>
        <w:tc>
          <w:tcPr>
            <w:tcW w:type="dxa" w:w="5015"/>
          </w:tcPr>
          <w:p>
            <w:pPr>
              <w:spacing w:after="20" w:before="20"/>
            </w:pPr>
            <w:r>
              <w:rPr>
                <w:b/>
                <w:i w:val="0"/>
                <w:sz w:val="18"/>
              </w:rPr>
              <w:t>Retrieval over the register + LLM reasoning</w:t>
            </w:r>
            <w:r>
              <w:rPr>
                <w:b w:val="0"/>
                <w:i w:val="0"/>
                <w:sz w:val="18"/>
              </w:rPr>
              <w:t xml:space="preserve"> over definitions and scope</w:t>
            </w:r>
          </w:p>
        </w:tc>
      </w:tr>
      <w:tr>
        <w:tc>
          <w:tcPr>
            <w:tcW w:type="dxa" w:w="4344"/>
          </w:tcPr>
          <w:p>
            <w:pPr>
              <w:spacing w:after="20" w:before="20"/>
            </w:pPr>
            <w:r>
              <w:rPr>
                <w:b w:val="0"/>
                <w:i w:val="0"/>
                <w:sz w:val="18"/>
              </w:rPr>
              <w:t>F4: compare clauses to AtliQ's playbook in both directions; test NDA mutuality; check flow-down; show similar clauses AtliQ has signed before</w:t>
            </w:r>
          </w:p>
        </w:tc>
        <w:tc>
          <w:tcPr>
            <w:tcW w:type="dxa" w:w="5015"/>
          </w:tcPr>
          <w:p>
            <w:pPr>
              <w:spacing w:after="20" w:before="20"/>
            </w:pPr>
            <w:r>
              <w:rPr>
                <w:b/>
                <w:i w:val="0"/>
                <w:sz w:val="18"/>
              </w:rPr>
              <w:t>LLM comparison against a structured playbook</w:t>
            </w:r>
            <w:r>
              <w:rPr>
                <w:b w:val="0"/>
                <w:i w:val="0"/>
                <w:sz w:val="18"/>
              </w:rPr>
              <w:t xml:space="preserve"> (checklist-driven) + </w:t>
            </w:r>
            <w:r>
              <w:rPr>
                <w:b/>
                <w:i w:val="0"/>
                <w:sz w:val="18"/>
              </w:rPr>
              <w:t>semantic similarity search</w:t>
            </w:r>
            <w:r>
              <w:rPr>
                <w:b w:val="0"/>
                <w:i w:val="0"/>
                <w:sz w:val="18"/>
              </w:rPr>
              <w:t xml:space="preserve"> over a clause index of signed contracts (precedent reference)</w:t>
            </w:r>
          </w:p>
        </w:tc>
      </w:tr>
      <w:tr>
        <w:tc>
          <w:tcPr>
            <w:tcW w:type="dxa" w:w="4344"/>
          </w:tcPr>
          <w:p>
            <w:pPr>
              <w:spacing w:after="20" w:before="20"/>
            </w:pPr>
            <w:r>
              <w:rPr>
                <w:b w:val="0"/>
                <w:i w:val="0"/>
                <w:sz w:val="18"/>
              </w:rPr>
              <w:t>F5: confirm the deal's document bundle is complete and consistent before data moves</w:t>
            </w:r>
          </w:p>
        </w:tc>
        <w:tc>
          <w:tcPr>
            <w:tcW w:type="dxa" w:w="5015"/>
          </w:tcPr>
          <w:p>
            <w:pPr>
              <w:spacing w:after="20" w:before="20"/>
            </w:pPr>
            <w:r>
              <w:rPr>
                <w:b/>
                <w:i w:val="0"/>
                <w:sz w:val="18"/>
              </w:rPr>
              <w:t>Rules</w:t>
            </w:r>
            <w:r>
              <w:rPr>
                <w:b w:val="0"/>
                <w:i w:val="0"/>
                <w:sz w:val="18"/>
              </w:rPr>
              <w:t xml:space="preserve"> (deal type → required documents) + </w:t>
            </w:r>
            <w:r>
              <w:rPr>
                <w:b/>
                <w:i w:val="0"/>
                <w:sz w:val="18"/>
              </w:rPr>
              <w:t>LLM extraction</w:t>
            </w:r>
            <w:r>
              <w:rPr>
                <w:b w:val="0"/>
                <w:i w:val="0"/>
                <w:sz w:val="18"/>
              </w:rPr>
              <w:t xml:space="preserve"> of data-handling facts from notes</w:t>
            </w:r>
          </w:p>
        </w:tc>
      </w:tr>
      <w:tr>
        <w:tc>
          <w:tcPr>
            <w:tcW w:type="dxa" w:w="4344"/>
          </w:tcPr>
          <w:p>
            <w:pPr>
              <w:spacing w:after="20" w:before="20"/>
            </w:pPr>
            <w:r>
              <w:rPr>
                <w:b w:val="0"/>
                <w:i w:val="0"/>
                <w:sz w:val="18"/>
              </w:rPr>
              <w:t>F6: produce a verdict-first brief and a counsel pack</w:t>
            </w:r>
          </w:p>
        </w:tc>
        <w:tc>
          <w:tcPr>
            <w:tcW w:type="dxa" w:w="5015"/>
          </w:tcPr>
          <w:p>
            <w:pPr>
              <w:spacing w:after="20" w:before="20"/>
            </w:pPr>
            <w:r>
              <w:rPr>
                <w:b/>
                <w:i w:val="0"/>
                <w:sz w:val="18"/>
              </w:rPr>
              <w:t>Constrained generation</w:t>
            </w:r>
            <w:r>
              <w:rPr>
                <w:b w:val="0"/>
                <w:i w:val="0"/>
                <w:sz w:val="18"/>
              </w:rPr>
              <w:t xml:space="preserve"> from verified findings only</w:t>
            </w:r>
          </w:p>
        </w:tc>
      </w:tr>
      <w:tr>
        <w:tc>
          <w:tcPr>
            <w:tcW w:type="dxa" w:w="4344"/>
          </w:tcPr>
          <w:p>
            <w:pPr>
              <w:spacing w:after="20" w:before="20"/>
            </w:pPr>
            <w:r>
              <w:rPr>
                <w:b w:val="0"/>
                <w:i w:val="0"/>
                <w:sz w:val="18"/>
              </w:rPr>
              <w:t>F7: give sellers a heads-up from a short deal form</w:t>
            </w:r>
          </w:p>
        </w:tc>
        <w:tc>
          <w:tcPr>
            <w:tcW w:type="dxa" w:w="5015"/>
          </w:tcPr>
          <w:p>
            <w:pPr>
              <w:spacing w:after="20" w:before="20"/>
            </w:pPr>
            <w:r>
              <w:rPr>
                <w:b/>
                <w:i w:val="0"/>
                <w:sz w:val="18"/>
              </w:rPr>
              <w:t>Register lookup</w:t>
            </w:r>
            <w:r>
              <w:rPr>
                <w:b w:val="0"/>
                <w:i w:val="0"/>
                <w:sz w:val="18"/>
              </w:rPr>
              <w:t xml:space="preserve"> by fixed question types + </w:t>
            </w:r>
            <w:r>
              <w:rPr>
                <w:b/>
                <w:i w:val="0"/>
                <w:sz w:val="18"/>
              </w:rPr>
              <w:t>semantic matching</w:t>
            </w:r>
            <w:r>
              <w:rPr>
                <w:b w:val="0"/>
                <w:i w:val="0"/>
                <w:sz w:val="18"/>
              </w:rPr>
              <w:t xml:space="preserve"> of one free-text item</w:t>
            </w:r>
          </w:p>
        </w:tc>
      </w:tr>
      <w:tr>
        <w:tc>
          <w:tcPr>
            <w:tcW w:type="dxa" w:w="4344"/>
          </w:tcPr>
          <w:p>
            <w:pPr>
              <w:spacing w:after="20" w:before="20"/>
            </w:pPr>
            <w:r>
              <w:rPr>
                <w:b w:val="0"/>
                <w:i w:val="0"/>
                <w:sz w:val="18"/>
              </w:rPr>
              <w:t>F8: shared contract queue with deadlines (due in / overdue)</w:t>
            </w:r>
          </w:p>
        </w:tc>
        <w:tc>
          <w:tcPr>
            <w:tcW w:type="dxa" w:w="5015"/>
          </w:tcPr>
          <w:p>
            <w:pPr>
              <w:spacing w:after="20" w:before="20"/>
            </w:pPr>
            <w:r>
              <w:rPr>
                <w:b w:val="0"/>
                <w:i w:val="0"/>
                <w:sz w:val="18"/>
              </w:rPr>
              <w:t>None (non-AI UI and date rules)</w:t>
            </w:r>
          </w:p>
        </w:tc>
      </w:tr>
    </w:tbl>
    <w:p>
      <w:pPr>
        <w:spacing w:after="40"/>
      </w:pPr>
    </w:p>
    <w:p>
      <w:pPr>
        <w:pStyle w:val="Heading1"/>
      </w:pPr>
      <w:r>
        <w:rPr>
          <w:b w:val="0"/>
          <w:i w:val="0"/>
        </w:rPr>
        <w:t>4. Personas and User Stories</w:t>
      </w:r>
    </w:p>
    <w:p>
      <w:pPr>
        <w:pStyle w:val="Heading2"/>
      </w:pPr>
      <w:r>
        <w:rPr>
          <w:b w:val="0"/>
          <w:i w:val="0"/>
        </w:rPr>
        <w:t>4.1 User Personas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Persona</w:t>
            </w:r>
          </w:p>
        </w:tc>
        <w:tc>
          <w:tcPr>
            <w:tcW w:type="dxa" w:w="6703"/>
            <w:shd w:val="clear" w:color="auto" w:fill="DCE6F2"/>
          </w:tcPr>
          <w:p>
            <w:pPr>
              <w:spacing w:after="20" w:before="20"/>
            </w:pPr>
            <w:r>
              <w:rPr>
                <w:b/>
                <w:i w:val="0"/>
                <w:sz w:val="18"/>
              </w:rPr>
              <w:t>Description</w:t>
            </w:r>
          </w:p>
        </w:tc>
      </w:tr>
      <w:tr>
        <w:tc>
          <w:tcPr>
            <w:tcW w:type="dxa" w:w="2656"/>
          </w:tcPr>
          <w:p>
            <w:pPr>
              <w:spacing w:after="20" w:before="20"/>
            </w:pPr>
            <w:r>
              <w:rPr>
                <w:b/>
                <w:i w:val="0"/>
                <w:sz w:val="18"/>
              </w:rPr>
              <w:t>Primary: Karandeep, CEO</w:t>
            </w:r>
            <w:r>
              <w:rPr>
                <w:b w:val="0"/>
                <w:i w:val="0"/>
                <w:sz w:val="18"/>
              </w:rPr>
              <w:t xml:space="preserve"> (only reviewer and signer)</w:t>
            </w:r>
          </w:p>
        </w:tc>
        <w:tc>
          <w:tcPr>
            <w:tcW w:type="dxa" w:w="6703"/>
          </w:tcPr>
          <w:p>
            <w:pPr>
              <w:spacing w:after="20" w:before="20"/>
            </w:pPr>
            <w:r>
              <w:rPr>
                <w:b w:val="0"/>
                <w:i w:val="0"/>
                <w:sz w:val="18"/>
              </w:rPr>
              <w:t xml:space="preserve">Reviews about 3 to 4 contracts and 4 to 5 NDAs a month alone; usually after 10 pm, sometimes on his phone; relies on a half-page 2024 checklist and memory; values mutual, balanced deals on every side of the table. </w:t>
            </w:r>
            <w:r>
              <w:br/>
            </w:r>
            <w:r>
              <w:rPr>
                <w:b w:val="0"/>
                <w:i w:val="0"/>
                <w:sz w:val="18"/>
              </w:rPr>
              <w:t xml:space="preserve"> </w:t>
            </w:r>
            <w:r>
              <w:br/>
            </w:r>
            <w:r>
              <w:rPr>
                <w:b/>
                <w:i w:val="0"/>
                <w:sz w:val="18"/>
              </w:rPr>
              <w:t>Goal:</w:t>
            </w:r>
            <w:r>
              <w:rPr>
                <w:b w:val="0"/>
                <w:i w:val="0"/>
                <w:sz w:val="18"/>
              </w:rPr>
              <w:t xml:space="preserve"> sign only what AtliQ can honour, fast enough for sellers to close, on fair terms. </w:t>
            </w:r>
            <w:r>
              <w:br/>
            </w:r>
            <w:r>
              <w:rPr>
                <w:b/>
                <w:i w:val="0"/>
                <w:sz w:val="18"/>
              </w:rPr>
              <w:t>Frustration:</w:t>
            </w:r>
            <w:r>
              <w:rPr>
                <w:b w:val="0"/>
                <w:i w:val="0"/>
                <w:sz w:val="18"/>
              </w:rPr>
              <w:t xml:space="preserve"> "I review everything myself, usually after 10 pm, and the only 'system' is my memory of how the last negotiation went. This doesn't scale and it isn't safe."</w:t>
            </w:r>
          </w:p>
        </w:tc>
      </w:tr>
      <w:tr>
        <w:tc>
          <w:tcPr>
            <w:tcW w:type="dxa" w:w="2656"/>
          </w:tcPr>
          <w:p>
            <w:pPr>
              <w:spacing w:after="20" w:before="20"/>
            </w:pPr>
            <w:r>
              <w:rPr>
                <w:b/>
                <w:i w:val="0"/>
                <w:sz w:val="18"/>
              </w:rPr>
              <w:t>Secondary: Sellers</w:t>
            </w:r>
            <w:r>
              <w:rPr>
                <w:b w:val="0"/>
                <w:i w:val="0"/>
                <w:sz w:val="18"/>
              </w:rPr>
              <w:t xml:space="preserve"> (Bhavin, Dhaval, Jay)</w:t>
            </w:r>
          </w:p>
        </w:tc>
        <w:tc>
          <w:tcPr>
            <w:tcW w:type="dxa" w:w="6703"/>
          </w:tcPr>
          <w:p>
            <w:pPr>
              <w:spacing w:after="20" w:before="20"/>
            </w:pPr>
            <w:r>
              <w:rPr>
                <w:b w:val="0"/>
                <w:i w:val="0"/>
                <w:sz w:val="18"/>
              </w:rPr>
              <w:t xml:space="preserve">Bring contracts in and wait on them; check scope only and assume the legal parts are covered; make commercial calls (discounts, reuse, scope, staffing) without seeing their legal consequences. </w:t>
            </w:r>
            <w:r>
              <w:br/>
            </w:r>
            <w:r>
              <w:rPr>
                <w:b w:val="0"/>
                <w:i w:val="0"/>
                <w:sz w:val="18"/>
              </w:rPr>
              <w:t xml:space="preserve"> </w:t>
            </w:r>
            <w:r>
              <w:br/>
            </w:r>
            <w:r>
              <w:rPr>
                <w:b/>
                <w:i w:val="0"/>
                <w:sz w:val="18"/>
              </w:rPr>
              <w:t>Goal:</w:t>
            </w:r>
            <w:r>
              <w:rPr>
                <w:b w:val="0"/>
                <w:i w:val="0"/>
                <w:sz w:val="18"/>
              </w:rPr>
              <w:t xml:space="preserve"> close on the client's timeline without surprises later. </w:t>
            </w:r>
            <w:r>
              <w:br/>
            </w:r>
            <w:r>
              <w:rPr>
                <w:b/>
                <w:i w:val="0"/>
                <w:sz w:val="18"/>
              </w:rPr>
              <w:t>Frustration:</w:t>
            </w:r>
            <w:r>
              <w:rPr>
                <w:b w:val="0"/>
                <w:i w:val="0"/>
                <w:sz w:val="18"/>
              </w:rPr>
              <w:t xml:space="preserve"> "We lost that one to our own queue." Nobody can answer "is there a list of what we've agreed not to do?"</w:t>
            </w:r>
          </w:p>
        </w:tc>
      </w:tr>
      <w:tr>
        <w:tc>
          <w:tcPr>
            <w:tcW w:type="dxa" w:w="2656"/>
          </w:tcPr>
          <w:p>
            <w:pPr>
              <w:spacing w:after="20" w:before="20"/>
            </w:pPr>
            <w:r>
              <w:rPr>
                <w:b w:val="0"/>
                <w:i/>
                <w:sz w:val="18"/>
              </w:rPr>
              <w:t>Stakeholders (not users)</w:t>
            </w:r>
          </w:p>
        </w:tc>
        <w:tc>
          <w:tcPr>
            <w:tcW w:type="dxa" w:w="6703"/>
          </w:tcPr>
          <w:p>
            <w:pPr>
              <w:spacing w:after="20" w:before="20"/>
            </w:pPr>
            <w:r>
              <w:rPr>
                <w:b w:val="0"/>
                <w:i w:val="0"/>
                <w:sz w:val="18"/>
              </w:rPr>
              <w:t>Pranav (CTO: delivery model, data handling, tool reuse); outside counsel (receive escalations); vendors/freelancers (receive AtliQ's paper).</w:t>
            </w:r>
          </w:p>
        </w:tc>
      </w:tr>
    </w:tbl>
    <w:p>
      <w:pPr>
        <w:spacing w:after="40"/>
      </w:pPr>
    </w:p>
    <w:p>
      <w:pPr>
        <w:pStyle w:val="Heading2"/>
      </w:pPr>
      <w:r>
        <w:rPr>
          <w:b w:val="0"/>
          <w:i w:val="0"/>
        </w:rPr>
        <w:t>4.2 User Stories</w:t>
      </w:r>
    </w:p>
    <w:p>
      <w:r>
        <w:rPr>
          <w:b w:val="0"/>
          <w:i w:val="0"/>
        </w:rPr>
        <w:t xml:space="preserve">Stories are grouped into one epic per feature, with one or two stories each. Stories describe the </w:t>
      </w:r>
      <w:r>
        <w:rPr>
          <w:b/>
          <w:i w:val="0"/>
        </w:rPr>
        <w:t>user's need</w:t>
      </w:r>
      <w:r>
        <w:rPr>
          <w:b w:val="0"/>
          <w:i w:val="0"/>
        </w:rPr>
        <w:t xml:space="preserve">, not the solution. How each need is met is specified in §6 (Functional Requirements) and §9 (Behaviour). Concrete dataset cases that verify each story live in </w:t>
      </w:r>
      <w:r>
        <w:rPr>
          <w:b/>
          <w:i w:val="0"/>
        </w:rPr>
        <w:t>`Eval_Set.md`</w:t>
      </w:r>
      <w:r>
        <w:rPr>
          <w:b w:val="0"/>
          <w:i w:val="0"/>
        </w:rPr>
        <w:t xml:space="preserve"> (IDs in the last column) and are used for §11 Eval Criteria.</w:t>
      </w:r>
    </w:p>
    <w:p>
      <w:pPr>
        <w:pStyle w:val="Heading3"/>
      </w:pPr>
      <w:r>
        <w:rPr>
          <w:b w:val="0"/>
          <w:i w:val="0"/>
        </w:rPr>
        <w:t>Epic E1 · Commitments register (F1)</w:t>
      </w:r>
    </w:p>
    <w:p>
      <w:r>
        <w:rPr>
          <w:b w:val="0"/>
          <w:i/>
        </w:rPr>
        <w:t>Goal:</w:t>
      </w:r>
      <w:r>
        <w:rPr>
          <w:b w:val="0"/>
          <w:i w:val="0"/>
        </w:rPr>
        <w:t xml:space="preserve"> Know everything AtliQ has already promised.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US-1</w:t>
            </w:r>
          </w:p>
        </w:tc>
        <w:tc>
          <w:tcPr>
            <w:tcW w:type="dxa" w:w="1150"/>
          </w:tcPr>
          <w:p>
            <w:pPr>
              <w:spacing w:after="20" w:before="20"/>
            </w:pPr>
            <w:r>
              <w:rPr>
                <w:b w:val="0"/>
                <w:i w:val="0"/>
                <w:sz w:val="18"/>
              </w:rPr>
              <w:t>Karandeep</w:t>
            </w:r>
          </w:p>
        </w:tc>
        <w:tc>
          <w:tcPr>
            <w:tcW w:type="dxa" w:w="1950"/>
          </w:tcPr>
          <w:p>
            <w:pPr>
              <w:spacing w:after="20" w:before="20"/>
            </w:pPr>
            <w:r>
              <w:rPr>
                <w:b w:val="0"/>
                <w:i w:val="0"/>
                <w:sz w:val="18"/>
              </w:rPr>
              <w:t>know everything AtliQ has already promised (and to whom, where, until when) before I sign anything new</w:t>
            </w:r>
          </w:p>
        </w:tc>
        <w:tc>
          <w:tcPr>
            <w:tcW w:type="dxa" w:w="1750"/>
          </w:tcPr>
          <w:p>
            <w:pPr>
              <w:spacing w:after="20" w:before="20"/>
            </w:pPr>
            <w:r>
              <w:rPr>
                <w:b w:val="0"/>
                <w:i w:val="0"/>
                <w:sz w:val="18"/>
              </w:rPr>
              <w:t>I never sign a contract that breaks an earlier commitment</w:t>
            </w:r>
          </w:p>
        </w:tc>
        <w:tc>
          <w:tcPr>
            <w:tcW w:type="dxa" w:w="2700"/>
          </w:tcPr>
          <w:p>
            <w:pPr>
              <w:spacing w:after="20" w:before="20"/>
            </w:pPr>
            <w:r>
              <w:rPr>
                <w:b w:val="0"/>
                <w:i w:val="0"/>
                <w:sz w:val="18"/>
              </w:rPr>
              <w:t>Every live restriction, pricing promise, exclusivity and IP transfer is listed once with who it binds (incl. affiliates), scope, expiry, waivers and the source clause; expired ones are marked; unreadable or missing documents are named.</w:t>
            </w:r>
          </w:p>
        </w:tc>
        <w:tc>
          <w:tcPr>
            <w:tcW w:type="dxa" w:w="1160"/>
          </w:tcPr>
          <w:p>
            <w:pPr>
              <w:spacing w:after="20" w:before="20"/>
            </w:pPr>
            <w:r>
              <w:rPr>
                <w:b w:val="0"/>
                <w:i w:val="0"/>
                <w:sz w:val="18"/>
              </w:rPr>
              <w:t>F1 · FR-1, FR-2 · EV-R1–R4</w:t>
            </w:r>
          </w:p>
        </w:tc>
      </w:tr>
    </w:tbl>
    <w:p>
      <w:pPr>
        <w:spacing w:after="40"/>
      </w:pPr>
    </w:p>
    <w:p>
      <w:pPr>
        <w:pStyle w:val="Heading3"/>
      </w:pPr>
      <w:r>
        <w:rPr>
          <w:b w:val="0"/>
          <w:i w:val="0"/>
        </w:rPr>
        <w:t>Epic E2 · Intake and gate check (F2)</w:t>
      </w:r>
    </w:p>
    <w:p>
      <w:r>
        <w:rPr>
          <w:b w:val="0"/>
          <w:i/>
        </w:rPr>
        <w:t>Goal:</w:t>
      </w:r>
      <w:r>
        <w:rPr>
          <w:b w:val="0"/>
          <w:i w:val="0"/>
        </w:rPr>
        <w:t xml:space="preserve"> Know quickly whether a contract is workable; NDAs in a fast lane.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US-2</w:t>
            </w:r>
          </w:p>
        </w:tc>
        <w:tc>
          <w:tcPr>
            <w:tcW w:type="dxa" w:w="1150"/>
          </w:tcPr>
          <w:p>
            <w:pPr>
              <w:spacing w:after="20" w:before="20"/>
            </w:pPr>
            <w:r>
              <w:rPr>
                <w:b w:val="0"/>
                <w:i w:val="0"/>
                <w:sz w:val="18"/>
              </w:rPr>
              <w:t>Karandeep</w:t>
            </w:r>
          </w:p>
        </w:tc>
        <w:tc>
          <w:tcPr>
            <w:tcW w:type="dxa" w:w="1950"/>
          </w:tcPr>
          <w:p>
            <w:pPr>
              <w:spacing w:after="20" w:before="20"/>
            </w:pPr>
            <w:r>
              <w:rPr>
                <w:b w:val="0"/>
                <w:i w:val="0"/>
                <w:sz w:val="18"/>
              </w:rPr>
              <w:t>know within minutes whether a new contract is even workable</w:t>
            </w:r>
          </w:p>
        </w:tc>
        <w:tc>
          <w:tcPr>
            <w:tcW w:type="dxa" w:w="1750"/>
          </w:tcPr>
          <w:p>
            <w:pPr>
              <w:spacing w:after="20" w:before="20"/>
            </w:pPr>
            <w:r>
              <w:rPr>
                <w:b w:val="0"/>
                <w:i w:val="0"/>
                <w:sz w:val="18"/>
              </w:rPr>
              <w:t>obvious problems go back before I spend time on the fine print</w:t>
            </w:r>
          </w:p>
        </w:tc>
        <w:tc>
          <w:tcPr>
            <w:tcW w:type="dxa" w:w="2700"/>
          </w:tcPr>
          <w:p>
            <w:pPr>
              <w:spacing w:after="20" w:before="20"/>
            </w:pPr>
            <w:r>
              <w:rPr>
                <w:b w:val="0"/>
                <w:i w:val="0"/>
                <w:sz w:val="18"/>
              </w:rPr>
              <w:t>Within minutes, pass/fail with the clause for entity, invoicing party, governing law, payment terms, penalty and liability caps, insurance and missing documents; fine-print findings still shown when the main text is readable.</w:t>
            </w:r>
          </w:p>
        </w:tc>
        <w:tc>
          <w:tcPr>
            <w:tcW w:type="dxa" w:w="1160"/>
          </w:tcPr>
          <w:p>
            <w:pPr>
              <w:spacing w:after="20" w:before="20"/>
            </w:pPr>
            <w:r>
              <w:rPr>
                <w:b w:val="0"/>
                <w:i w:val="0"/>
                <w:sz w:val="18"/>
              </w:rPr>
              <w:t>F2 · FR-3–FR-5, FR-17 · EV-03, EV-06, EV-11, EV-12</w:t>
            </w:r>
          </w:p>
        </w:tc>
      </w:tr>
      <w:tr>
        <w:tc>
          <w:tcPr>
            <w:tcW w:type="dxa" w:w="650"/>
          </w:tcPr>
          <w:p>
            <w:pPr>
              <w:spacing w:after="20" w:before="20"/>
            </w:pPr>
            <w:r>
              <w:rPr>
                <w:b/>
                <w:i w:val="0"/>
                <w:sz w:val="18"/>
              </w:rPr>
              <w:t>US-5</w:t>
            </w:r>
          </w:p>
        </w:tc>
        <w:tc>
          <w:tcPr>
            <w:tcW w:type="dxa" w:w="1150"/>
          </w:tcPr>
          <w:p>
            <w:pPr>
              <w:spacing w:after="20" w:before="20"/>
            </w:pPr>
            <w:r>
              <w:rPr>
                <w:b w:val="0"/>
                <w:i w:val="0"/>
                <w:sz w:val="18"/>
              </w:rPr>
              <w:t>Karandeep</w:t>
            </w:r>
          </w:p>
        </w:tc>
        <w:tc>
          <w:tcPr>
            <w:tcW w:type="dxa" w:w="1950"/>
          </w:tcPr>
          <w:p>
            <w:pPr>
              <w:spacing w:after="20" w:before="20"/>
            </w:pPr>
            <w:r>
              <w:rPr>
                <w:b w:val="0"/>
                <w:i w:val="0"/>
                <w:sz w:val="18"/>
              </w:rPr>
              <w:t>know whether an NDA protects both sides in substance, quickly</w:t>
            </w:r>
          </w:p>
        </w:tc>
        <w:tc>
          <w:tcPr>
            <w:tcW w:type="dxa" w:w="1750"/>
          </w:tcPr>
          <w:p>
            <w:pPr>
              <w:spacing w:after="20" w:before="20"/>
            </w:pPr>
            <w:r>
              <w:rPr>
                <w:b w:val="0"/>
                <w:i w:val="0"/>
                <w:sz w:val="18"/>
              </w:rPr>
              <w:t>"just sign if mutual" stops being a trap, and NDAs don't wait in the queue</w:t>
            </w:r>
          </w:p>
        </w:tc>
        <w:tc>
          <w:tcPr>
            <w:tcW w:type="dxa" w:w="2700"/>
          </w:tcPr>
          <w:p>
            <w:pPr>
              <w:spacing w:after="20" w:before="20"/>
            </w:pPr>
            <w:r>
              <w:rPr>
                <w:b w:val="0"/>
                <w:i w:val="0"/>
                <w:sz w:val="18"/>
              </w:rPr>
              <w:t>Result in under a minute; mutuality tested item by item, whatever the title; a genuinely mutual NDA comes back "clean, sign" with no invented concerns.</w:t>
            </w:r>
          </w:p>
        </w:tc>
        <w:tc>
          <w:tcPr>
            <w:tcW w:type="dxa" w:w="1160"/>
          </w:tcPr>
          <w:p>
            <w:pPr>
              <w:spacing w:after="20" w:before="20"/>
            </w:pPr>
            <w:r>
              <w:rPr>
                <w:b w:val="0"/>
                <w:i w:val="0"/>
                <w:sz w:val="18"/>
              </w:rPr>
              <w:t>F2 (routing) + F4 · FR-5, FR-8 · EV-07, EV-08</w:t>
            </w:r>
          </w:p>
        </w:tc>
      </w:tr>
    </w:tbl>
    <w:p>
      <w:pPr>
        <w:spacing w:after="40"/>
      </w:pPr>
    </w:p>
    <w:p>
      <w:pPr>
        <w:pStyle w:val="Heading3"/>
      </w:pPr>
      <w:r>
        <w:rPr>
          <w:b w:val="0"/>
          <w:i w:val="0"/>
        </w:rPr>
        <w:t>Epic E3 · Cross-contract conflict check (F3)</w:t>
      </w:r>
    </w:p>
    <w:p>
      <w:r>
        <w:rPr>
          <w:b w:val="0"/>
          <w:i/>
        </w:rPr>
        <w:t>Goal:</w:t>
      </w:r>
      <w:r>
        <w:rPr>
          <w:b w:val="0"/>
          <w:i w:val="0"/>
        </w:rPr>
        <w:t xml:space="preserve"> Catch collisions with earlier promises before signing.</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US-3</w:t>
            </w:r>
          </w:p>
        </w:tc>
        <w:tc>
          <w:tcPr>
            <w:tcW w:type="dxa" w:w="1150"/>
          </w:tcPr>
          <w:p>
            <w:pPr>
              <w:spacing w:after="20" w:before="20"/>
            </w:pPr>
            <w:r>
              <w:rPr>
                <w:b w:val="0"/>
                <w:i w:val="0"/>
                <w:sz w:val="18"/>
              </w:rPr>
              <w:t>Karandeep</w:t>
            </w:r>
          </w:p>
        </w:tc>
        <w:tc>
          <w:tcPr>
            <w:tcW w:type="dxa" w:w="1950"/>
          </w:tcPr>
          <w:p>
            <w:pPr>
              <w:spacing w:after="20" w:before="20"/>
            </w:pPr>
            <w:r>
              <w:rPr>
                <w:b w:val="0"/>
                <w:i w:val="0"/>
                <w:sz w:val="18"/>
              </w:rPr>
              <w:t>be told when a contract collides with something AtliQ has already agreed elsewhere</w:t>
            </w:r>
          </w:p>
        </w:tc>
        <w:tc>
          <w:tcPr>
            <w:tcW w:type="dxa" w:w="1750"/>
          </w:tcPr>
          <w:p>
            <w:pPr>
              <w:spacing w:after="20" w:before="20"/>
            </w:pPr>
            <w:r>
              <w:rPr>
                <w:b w:val="0"/>
                <w:i w:val="0"/>
                <w:sz w:val="18"/>
              </w:rPr>
              <w:t>I catch risks that aren't visible in the document in front of me</w:t>
            </w:r>
          </w:p>
        </w:tc>
        <w:tc>
          <w:tcPr>
            <w:tcW w:type="dxa" w:w="2700"/>
          </w:tcPr>
          <w:p>
            <w:pPr>
              <w:spacing w:after="20" w:before="20"/>
            </w:pPr>
            <w:r>
              <w:rPr>
                <w:b w:val="0"/>
                <w:i w:val="0"/>
                <w:sz w:val="18"/>
              </w:rPr>
              <w:t>The conflict is a blocker with both clauses side by side, expiry and any waiver; no legal conclusions; expired commitments appear only as "checked, expired".</w:t>
            </w:r>
          </w:p>
        </w:tc>
        <w:tc>
          <w:tcPr>
            <w:tcW w:type="dxa" w:w="1160"/>
          </w:tcPr>
          <w:p>
            <w:pPr>
              <w:spacing w:after="20" w:before="20"/>
            </w:pPr>
            <w:r>
              <w:rPr>
                <w:b w:val="0"/>
                <w:i w:val="0"/>
                <w:sz w:val="18"/>
              </w:rPr>
              <w:t>F3 · FR-6, FR-25 · EV-01–EV-07, EV-14</w:t>
            </w:r>
          </w:p>
        </w:tc>
      </w:tr>
    </w:tbl>
    <w:p>
      <w:pPr>
        <w:spacing w:after="40"/>
      </w:pPr>
    </w:p>
    <w:p>
      <w:pPr>
        <w:pStyle w:val="Heading3"/>
      </w:pPr>
      <w:r>
        <w:rPr>
          <w:b w:val="0"/>
          <w:i w:val="0"/>
        </w:rPr>
        <w:t>Epic E4 · Playbook and fairness (F4)</w:t>
      </w:r>
    </w:p>
    <w:p>
      <w:r>
        <w:rPr>
          <w:b w:val="0"/>
          <w:i/>
        </w:rPr>
        <w:t>Goal:</w:t>
      </w:r>
      <w:r>
        <w:rPr>
          <w:b w:val="0"/>
          <w:i w:val="0"/>
        </w:rPr>
        <w:t xml:space="preserve"> Compare every clause with AtliQ's own baseline, both ways.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US-4</w:t>
            </w:r>
          </w:p>
        </w:tc>
        <w:tc>
          <w:tcPr>
            <w:tcW w:type="dxa" w:w="1150"/>
          </w:tcPr>
          <w:p>
            <w:pPr>
              <w:spacing w:after="20" w:before="20"/>
            </w:pPr>
            <w:r>
              <w:rPr>
                <w:b w:val="0"/>
                <w:i w:val="0"/>
                <w:sz w:val="18"/>
              </w:rPr>
              <w:t>Karandeep</w:t>
            </w:r>
          </w:p>
        </w:tc>
        <w:tc>
          <w:tcPr>
            <w:tcW w:type="dxa" w:w="1950"/>
          </w:tcPr>
          <w:p>
            <w:pPr>
              <w:spacing w:after="20" w:before="20"/>
            </w:pPr>
            <w:r>
              <w:rPr>
                <w:b w:val="0"/>
                <w:i w:val="0"/>
                <w:sz w:val="18"/>
              </w:rPr>
              <w:t>see how each important clause compares with how AtliQ has negotiated before</w:t>
            </w:r>
          </w:p>
        </w:tc>
        <w:tc>
          <w:tcPr>
            <w:tcW w:type="dxa" w:w="1750"/>
          </w:tcPr>
          <w:p>
            <w:pPr>
              <w:spacing w:after="20" w:before="20"/>
            </w:pPr>
            <w:r>
              <w:rPr>
                <w:b w:val="0"/>
                <w:i w:val="0"/>
                <w:sz w:val="18"/>
              </w:rPr>
              <w:t>I negotiate consistently and never repeat an accident as if it were policy</w:t>
            </w:r>
          </w:p>
        </w:tc>
        <w:tc>
          <w:tcPr>
            <w:tcW w:type="dxa" w:w="2700"/>
          </w:tcPr>
          <w:p>
            <w:pPr>
              <w:spacing w:after="20" w:before="20"/>
            </w:pPr>
            <w:r>
              <w:rPr>
                <w:b w:val="0"/>
                <w:i w:val="0"/>
                <w:sz w:val="18"/>
              </w:rPr>
              <w:t>The standard position, my past decision with its label, and up to 3 similar signed clauses; one-offs and accidents never shown as standard; similar clauses never change the verdict.</w:t>
            </w:r>
          </w:p>
        </w:tc>
        <w:tc>
          <w:tcPr>
            <w:tcW w:type="dxa" w:w="1160"/>
          </w:tcPr>
          <w:p>
            <w:pPr>
              <w:spacing w:after="20" w:before="20"/>
            </w:pPr>
            <w:r>
              <w:rPr>
                <w:b w:val="0"/>
                <w:i w:val="0"/>
                <w:sz w:val="18"/>
              </w:rPr>
              <w:t>F4 · FR-7, FR-22 · EV-01, EV-12, EV-P1–P7</w:t>
            </w:r>
          </w:p>
        </w:tc>
      </w:tr>
      <w:tr>
        <w:tc>
          <w:tcPr>
            <w:tcW w:type="dxa" w:w="650"/>
          </w:tcPr>
          <w:p>
            <w:pPr>
              <w:spacing w:after="20" w:before="20"/>
            </w:pPr>
            <w:r>
              <w:rPr>
                <w:b/>
                <w:i w:val="0"/>
                <w:sz w:val="18"/>
              </w:rPr>
              <w:t>US-11</w:t>
            </w:r>
          </w:p>
        </w:tc>
        <w:tc>
          <w:tcPr>
            <w:tcW w:type="dxa" w:w="1150"/>
          </w:tcPr>
          <w:p>
            <w:pPr>
              <w:spacing w:after="20" w:before="20"/>
            </w:pPr>
            <w:r>
              <w:rPr>
                <w:b w:val="0"/>
                <w:i w:val="0"/>
                <w:sz w:val="18"/>
              </w:rPr>
              <w:t>Seller / Pranav (preparing AtliQ's own paper)</w:t>
            </w:r>
          </w:p>
        </w:tc>
        <w:tc>
          <w:tcPr>
            <w:tcW w:type="dxa" w:w="1950"/>
          </w:tcPr>
          <w:p>
            <w:pPr>
              <w:spacing w:after="20" w:before="20"/>
            </w:pPr>
            <w:r>
              <w:rPr>
                <w:b w:val="0"/>
                <w:i w:val="0"/>
                <w:sz w:val="18"/>
              </w:rPr>
              <w:t>know that the agreement I'm sending to a vendor or freelancer meets AtliQ's own standard and covers what we've promised the client</w:t>
            </w:r>
          </w:p>
        </w:tc>
        <w:tc>
          <w:tcPr>
            <w:tcW w:type="dxa" w:w="1750"/>
          </w:tcPr>
          <w:p>
            <w:pPr>
              <w:spacing w:after="20" w:before="20"/>
            </w:pPr>
            <w:r>
              <w:rPr>
                <w:b w:val="0"/>
                <w:i w:val="0"/>
                <w:sz w:val="18"/>
              </w:rPr>
              <w:t>the other side isn't treated worse than AtliQ asks to be treated, and our client promises are actually backed</w:t>
            </w:r>
          </w:p>
        </w:tc>
        <w:tc>
          <w:tcPr>
            <w:tcW w:type="dxa" w:w="2700"/>
          </w:tcPr>
          <w:p>
            <w:pPr>
              <w:spacing w:after="20" w:before="20"/>
            </w:pPr>
            <w:r>
              <w:rPr>
                <w:b w:val="0"/>
                <w:i w:val="0"/>
                <w:sz w:val="18"/>
              </w:rPr>
              <w:t>Clauses AtliQ would reject as a supplier are flagged with the fair alternative; client obligations not passed down (IP, data protection, consent) are flagged against the client contract.</w:t>
            </w:r>
          </w:p>
        </w:tc>
        <w:tc>
          <w:tcPr>
            <w:tcW w:type="dxa" w:w="1160"/>
          </w:tcPr>
          <w:p>
            <w:pPr>
              <w:spacing w:after="20" w:before="20"/>
            </w:pPr>
            <w:r>
              <w:rPr>
                <w:b w:val="0"/>
                <w:i w:val="0"/>
                <w:sz w:val="18"/>
              </w:rPr>
              <w:t>F4 · FR-7 · EV-10, EV-11, EV-13</w:t>
            </w:r>
          </w:p>
        </w:tc>
      </w:tr>
    </w:tbl>
    <w:p>
      <w:pPr>
        <w:spacing w:after="40"/>
      </w:pPr>
    </w:p>
    <w:p>
      <w:pPr>
        <w:pStyle w:val="Heading3"/>
      </w:pPr>
      <w:r>
        <w:rPr>
          <w:b w:val="0"/>
          <w:i w:val="0"/>
        </w:rPr>
        <w:t>Epic E5 · Deal bundle and data readiness (F5)</w:t>
      </w:r>
    </w:p>
    <w:p>
      <w:r>
        <w:rPr>
          <w:b w:val="0"/>
          <w:i/>
        </w:rPr>
        <w:t>Goal:</w:t>
      </w:r>
      <w:r>
        <w:rPr>
          <w:b w:val="0"/>
          <w:i w:val="0"/>
        </w:rPr>
        <w:t xml:space="preserve"> Paperwork and data handling in place before work starts.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US-6</w:t>
            </w:r>
          </w:p>
        </w:tc>
        <w:tc>
          <w:tcPr>
            <w:tcW w:type="dxa" w:w="1150"/>
          </w:tcPr>
          <w:p>
            <w:pPr>
              <w:spacing w:after="20" w:before="20"/>
            </w:pPr>
            <w:r>
              <w:rPr>
                <w:b w:val="0"/>
                <w:i w:val="0"/>
                <w:sz w:val="18"/>
              </w:rPr>
              <w:t>Karandeep</w:t>
            </w:r>
          </w:p>
        </w:tc>
        <w:tc>
          <w:tcPr>
            <w:tcW w:type="dxa" w:w="1950"/>
          </w:tcPr>
          <w:p>
            <w:pPr>
              <w:spacing w:after="20" w:before="20"/>
            </w:pPr>
            <w:r>
              <w:rPr>
                <w:b w:val="0"/>
                <w:i w:val="0"/>
                <w:sz w:val="18"/>
              </w:rPr>
              <w:t>be stopped when a deal's paperwork or data handling isn't in place</w:t>
            </w:r>
          </w:p>
        </w:tc>
        <w:tc>
          <w:tcPr>
            <w:tcW w:type="dxa" w:w="1750"/>
          </w:tcPr>
          <w:p>
            <w:pPr>
              <w:spacing w:after="20" w:before="20"/>
            </w:pPr>
            <w:r>
              <w:rPr>
                <w:b w:val="0"/>
                <w:i w:val="0"/>
                <w:sz w:val="18"/>
              </w:rPr>
              <w:t>client or personal data never moves before the right agreements exist with everyone who touches it</w:t>
            </w:r>
          </w:p>
        </w:tc>
        <w:tc>
          <w:tcPr>
            <w:tcW w:type="dxa" w:w="2700"/>
          </w:tcPr>
          <w:p>
            <w:pPr>
              <w:spacing w:after="20" w:before="20"/>
            </w:pPr>
            <w:r>
              <w:rPr>
                <w:b w:val="0"/>
                <w:i w:val="0"/>
                <w:sz w:val="18"/>
              </w:rPr>
              <w:t>Required documents per party, what is missing or inconsistent, and any sign data has already moved; facts from notes are confirmed by me; compliance events go to a named person, never handled automatically.</w:t>
            </w:r>
          </w:p>
        </w:tc>
        <w:tc>
          <w:tcPr>
            <w:tcW w:type="dxa" w:w="1160"/>
          </w:tcPr>
          <w:p>
            <w:pPr>
              <w:spacing w:after="20" w:before="20"/>
            </w:pPr>
            <w:r>
              <w:rPr>
                <w:b w:val="0"/>
                <w:i w:val="0"/>
                <w:sz w:val="18"/>
              </w:rPr>
              <w:t>F5 · FR-9, FR-10 · EV-06, EV-10, EV-12, EV-13</w:t>
            </w:r>
          </w:p>
        </w:tc>
      </w:tr>
    </w:tbl>
    <w:p>
      <w:pPr>
        <w:spacing w:after="40"/>
      </w:pPr>
    </w:p>
    <w:p>
      <w:pPr>
        <w:pStyle w:val="Heading3"/>
      </w:pPr>
      <w:r>
        <w:rPr>
          <w:b w:val="0"/>
          <w:i w:val="0"/>
        </w:rPr>
        <w:t>Epic E6 · Decision brief and feedback (F6)</w:t>
      </w:r>
    </w:p>
    <w:p>
      <w:r>
        <w:rPr>
          <w:b w:val="0"/>
          <w:i/>
        </w:rPr>
        <w:t>Goal:</w:t>
      </w:r>
      <w:r>
        <w:rPr>
          <w:b w:val="0"/>
          <w:i w:val="0"/>
        </w:rPr>
        <w:t xml:space="preserve"> Decide from one cited brief and correct it in place.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US-7</w:t>
            </w:r>
          </w:p>
        </w:tc>
        <w:tc>
          <w:tcPr>
            <w:tcW w:type="dxa" w:w="1150"/>
          </w:tcPr>
          <w:p>
            <w:pPr>
              <w:spacing w:after="20" w:before="20"/>
            </w:pPr>
            <w:r>
              <w:rPr>
                <w:b w:val="0"/>
                <w:i w:val="0"/>
                <w:sz w:val="18"/>
              </w:rPr>
              <w:t>Karandeep</w:t>
            </w:r>
          </w:p>
        </w:tc>
        <w:tc>
          <w:tcPr>
            <w:tcW w:type="dxa" w:w="1950"/>
          </w:tcPr>
          <w:p>
            <w:pPr>
              <w:spacing w:after="20" w:before="20"/>
            </w:pPr>
            <w:r>
              <w:rPr>
                <w:b w:val="0"/>
                <w:i w:val="0"/>
                <w:sz w:val="18"/>
              </w:rPr>
              <w:t>get one short brief that tells me what to do, with the evidence behind it</w:t>
            </w:r>
          </w:p>
        </w:tc>
        <w:tc>
          <w:tcPr>
            <w:tcW w:type="dxa" w:w="1750"/>
          </w:tcPr>
          <w:p>
            <w:pPr>
              <w:spacing w:after="20" w:before="20"/>
            </w:pPr>
            <w:r>
              <w:rPr>
                <w:b w:val="0"/>
                <w:i w:val="0"/>
                <w:sz w:val="18"/>
              </w:rPr>
              <w:t>I can decide late at night in minutes without re-reading the contract</w:t>
            </w:r>
          </w:p>
        </w:tc>
        <w:tc>
          <w:tcPr>
            <w:tcW w:type="dxa" w:w="2700"/>
          </w:tcPr>
          <w:p>
            <w:pPr>
              <w:spacing w:after="20" w:before="20"/>
            </w:pPr>
            <w:r>
              <w:rPr>
                <w:b w:val="0"/>
                <w:i w:val="0"/>
                <w:sz w:val="18"/>
              </w:rPr>
              <w:t>Verdict and next action first; at most 3 blockers with impact and citations; precedent, worth negotiating, what's fine, what wasn't seen; later versions show new / still open / resolved.</w:t>
            </w:r>
          </w:p>
        </w:tc>
        <w:tc>
          <w:tcPr>
            <w:tcW w:type="dxa" w:w="1160"/>
          </w:tcPr>
          <w:p>
            <w:pPr>
              <w:spacing w:after="20" w:before="20"/>
            </w:pPr>
            <w:r>
              <w:rPr>
                <w:b w:val="0"/>
                <w:i w:val="0"/>
                <w:sz w:val="18"/>
              </w:rPr>
              <w:t>F6 · FR-11, FR-17 · all EV cases; EV-V1–V3</w:t>
            </w:r>
          </w:p>
        </w:tc>
      </w:tr>
      <w:tr>
        <w:tc>
          <w:tcPr>
            <w:tcW w:type="dxa" w:w="650"/>
          </w:tcPr>
          <w:p>
            <w:pPr>
              <w:spacing w:after="20" w:before="20"/>
            </w:pPr>
            <w:r>
              <w:rPr>
                <w:b/>
                <w:i w:val="0"/>
                <w:sz w:val="18"/>
              </w:rPr>
              <w:t>US-8</w:t>
            </w:r>
          </w:p>
        </w:tc>
        <w:tc>
          <w:tcPr>
            <w:tcW w:type="dxa" w:w="1150"/>
          </w:tcPr>
          <w:p>
            <w:pPr>
              <w:spacing w:after="20" w:before="20"/>
            </w:pPr>
            <w:r>
              <w:rPr>
                <w:b w:val="0"/>
                <w:i w:val="0"/>
                <w:sz w:val="18"/>
              </w:rPr>
              <w:t>Karandeep</w:t>
            </w:r>
          </w:p>
        </w:tc>
        <w:tc>
          <w:tcPr>
            <w:tcW w:type="dxa" w:w="1950"/>
          </w:tcPr>
          <w:p>
            <w:pPr>
              <w:spacing w:after="20" w:before="20"/>
            </w:pPr>
            <w:r>
              <w:rPr>
                <w:b w:val="0"/>
                <w:i w:val="0"/>
                <w:sz w:val="18"/>
              </w:rPr>
              <w:t>correct the system in the same place I make my decision</w:t>
            </w:r>
          </w:p>
        </w:tc>
        <w:tc>
          <w:tcPr>
            <w:tcW w:type="dxa" w:w="1750"/>
          </w:tcPr>
          <w:p>
            <w:pPr>
              <w:spacing w:after="20" w:before="20"/>
            </w:pPr>
            <w:r>
              <w:rPr>
                <w:b w:val="0"/>
                <w:i w:val="0"/>
                <w:sz w:val="18"/>
              </w:rPr>
              <w:t>it learns my standards without extra work, and I can trust it more over time</w:t>
            </w:r>
          </w:p>
        </w:tc>
        <w:tc>
          <w:tcPr>
            <w:tcW w:type="dxa" w:w="2700"/>
          </w:tcPr>
          <w:p>
            <w:pPr>
              <w:spacing w:after="20" w:before="20"/>
            </w:pPr>
            <w:r>
              <w:rPr>
                <w:b w:val="0"/>
                <w:i w:val="0"/>
                <w:sz w:val="18"/>
              </w:rPr>
              <w:t>One or two taps per reaction or decision; a reason only when I reject a blocker; deliberate exceptions become playbook proposals I approve.</w:t>
            </w:r>
          </w:p>
        </w:tc>
        <w:tc>
          <w:tcPr>
            <w:tcW w:type="dxa" w:w="1160"/>
          </w:tcPr>
          <w:p>
            <w:pPr>
              <w:spacing w:after="20" w:before="20"/>
            </w:pPr>
            <w:r>
              <w:rPr>
                <w:b w:val="0"/>
                <w:i w:val="0"/>
                <w:sz w:val="18"/>
              </w:rPr>
              <w:t>F6 · FR-12, FR-15, FR-16</w:t>
            </w:r>
          </w:p>
        </w:tc>
      </w:tr>
    </w:tbl>
    <w:p>
      <w:pPr>
        <w:spacing w:after="40"/>
      </w:pPr>
    </w:p>
    <w:p>
      <w:pPr>
        <w:pStyle w:val="Heading3"/>
      </w:pPr>
      <w:r>
        <w:rPr>
          <w:b w:val="0"/>
          <w:i w:val="0"/>
        </w:rPr>
        <w:t>Epic E7 · Seller deal check (F7, secondary persona)</w:t>
      </w:r>
    </w:p>
    <w:p>
      <w:r>
        <w:rPr>
          <w:b w:val="0"/>
          <w:i/>
        </w:rPr>
        <w:t>Goal:</w:t>
      </w:r>
      <w:r>
        <w:rPr>
          <w:b w:val="0"/>
          <w:i w:val="0"/>
        </w:rPr>
        <w:t xml:space="preserve"> Sellers check before they promise, so fewer surprises reach Karandeep.</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US-9</w:t>
            </w:r>
          </w:p>
        </w:tc>
        <w:tc>
          <w:tcPr>
            <w:tcW w:type="dxa" w:w="1150"/>
          </w:tcPr>
          <w:p>
            <w:pPr>
              <w:spacing w:after="20" w:before="20"/>
            </w:pPr>
            <w:r>
              <w:rPr>
                <w:b w:val="0"/>
                <w:i w:val="0"/>
                <w:sz w:val="18"/>
              </w:rPr>
              <w:t>Seller</w:t>
            </w:r>
          </w:p>
        </w:tc>
        <w:tc>
          <w:tcPr>
            <w:tcW w:type="dxa" w:w="1950"/>
          </w:tcPr>
          <w:p>
            <w:pPr>
              <w:spacing w:after="20" w:before="20"/>
            </w:pPr>
            <w:r>
              <w:rPr>
                <w:b w:val="0"/>
                <w:i w:val="0"/>
                <w:sz w:val="18"/>
              </w:rPr>
              <w:t>know, before I propose something to a client, whether AtliQ is free to offer it (a price, a region or site, a tool we built before, a partner, who works on the data)</w:t>
            </w:r>
          </w:p>
        </w:tc>
        <w:tc>
          <w:tcPr>
            <w:tcW w:type="dxa" w:w="1750"/>
          </w:tcPr>
          <w:p>
            <w:pPr>
              <w:spacing w:after="20" w:before="20"/>
            </w:pPr>
            <w:r>
              <w:rPr>
                <w:b w:val="0"/>
                <w:i w:val="0"/>
                <w:sz w:val="18"/>
              </w:rPr>
              <w:t>I don't promise a client something AtliQ has already committed not to do, and I don't find out after the contract arrives</w:t>
            </w:r>
          </w:p>
        </w:tc>
        <w:tc>
          <w:tcPr>
            <w:tcW w:type="dxa" w:w="2700"/>
          </w:tcPr>
          <w:p>
            <w:pPr>
              <w:spacing w:after="20" w:before="20"/>
            </w:pPr>
            <w:r>
              <w:rPr>
                <w:b w:val="0"/>
                <w:i w:val="0"/>
                <w:sz w:val="18"/>
              </w:rPr>
              <w:t>Within a minute, each item is clear / needs attention / conflict with the reason; anything unchecked is said, never treated as safe; no other clients' confidential terms.</w:t>
            </w:r>
          </w:p>
        </w:tc>
        <w:tc>
          <w:tcPr>
            <w:tcW w:type="dxa" w:w="1160"/>
          </w:tcPr>
          <w:p>
            <w:pPr>
              <w:spacing w:after="20" w:before="20"/>
            </w:pPr>
            <w:r>
              <w:rPr>
                <w:b w:val="0"/>
                <w:i w:val="0"/>
                <w:sz w:val="18"/>
              </w:rPr>
              <w:t>F7 · FR-13 · EV-S1–S6</w:t>
            </w:r>
          </w:p>
        </w:tc>
      </w:tr>
      <w:tr>
        <w:tc>
          <w:tcPr>
            <w:tcW w:type="dxa" w:w="650"/>
          </w:tcPr>
          <w:p>
            <w:pPr>
              <w:spacing w:after="20" w:before="20"/>
            </w:pPr>
            <w:r>
              <w:rPr>
                <w:b/>
                <w:i w:val="0"/>
                <w:sz w:val="18"/>
              </w:rPr>
              <w:t>US-10</w:t>
            </w:r>
          </w:p>
        </w:tc>
        <w:tc>
          <w:tcPr>
            <w:tcW w:type="dxa" w:w="1150"/>
          </w:tcPr>
          <w:p>
            <w:pPr>
              <w:spacing w:after="20" w:before="20"/>
            </w:pPr>
            <w:r>
              <w:rPr>
                <w:b w:val="0"/>
                <w:i w:val="0"/>
                <w:sz w:val="18"/>
              </w:rPr>
              <w:t>Seller</w:t>
            </w:r>
          </w:p>
        </w:tc>
        <w:tc>
          <w:tcPr>
            <w:tcW w:type="dxa" w:w="1950"/>
          </w:tcPr>
          <w:p>
            <w:pPr>
              <w:spacing w:after="20" w:before="20"/>
            </w:pPr>
            <w:r>
              <w:rPr>
                <w:b w:val="0"/>
                <w:i w:val="0"/>
                <w:sz w:val="18"/>
              </w:rPr>
              <w:t>know when what I was told may no longer hold, because my plan changed or the contract or AtliQ's commitments were re-checked</w:t>
            </w:r>
          </w:p>
        </w:tc>
        <w:tc>
          <w:tcPr>
            <w:tcW w:type="dxa" w:w="1750"/>
          </w:tcPr>
          <w:p>
            <w:pPr>
              <w:spacing w:after="20" w:before="20"/>
            </w:pPr>
            <w:r>
              <w:rPr>
                <w:b w:val="0"/>
                <w:i w:val="0"/>
                <w:sz w:val="18"/>
              </w:rPr>
              <w:t>I don't keep acting on an out-of-date answer</w:t>
            </w:r>
          </w:p>
        </w:tc>
        <w:tc>
          <w:tcPr>
            <w:tcW w:type="dxa" w:w="2700"/>
          </w:tcPr>
          <w:p>
            <w:pPr>
              <w:spacing w:after="20" w:before="20"/>
            </w:pPr>
            <w:r>
              <w:rPr>
                <w:b w:val="0"/>
                <w:i w:val="0"/>
                <w:sz w:val="18"/>
              </w:rPr>
              <w:t>Only changed items are re-checked; I'm told when a re-check or a register change may make my answer stale; every answer is dated.</w:t>
            </w:r>
          </w:p>
        </w:tc>
        <w:tc>
          <w:tcPr>
            <w:tcW w:type="dxa" w:w="1160"/>
          </w:tcPr>
          <w:p>
            <w:pPr>
              <w:spacing w:after="20" w:before="20"/>
            </w:pPr>
            <w:r>
              <w:rPr>
                <w:b w:val="0"/>
                <w:i w:val="0"/>
                <w:sz w:val="18"/>
              </w:rPr>
              <w:t>F7 · FR-13, FR-19 · EV-S2, EV-S7, EV-S8</w:t>
            </w:r>
          </w:p>
        </w:tc>
      </w:tr>
    </w:tbl>
    <w:p>
      <w:pPr>
        <w:spacing w:after="40"/>
      </w:pPr>
    </w:p>
    <w:p>
      <w:pPr>
        <w:pStyle w:val="Heading3"/>
      </w:pPr>
      <w:r>
        <w:rPr>
          <w:b w:val="0"/>
          <w:i w:val="0"/>
        </w:rPr>
        <w:t>Epic E8 · Contract queue and deadlines (F8)</w:t>
      </w:r>
    </w:p>
    <w:p>
      <w:r>
        <w:rPr>
          <w:b w:val="0"/>
          <w:i/>
        </w:rPr>
        <w:t>Goal:</w:t>
      </w:r>
      <w:r>
        <w:rPr>
          <w:b w:val="0"/>
          <w:i w:val="0"/>
        </w:rPr>
        <w:t xml:space="preserve"> See every contract, its due date and who it waits on.</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50"/>
        <w:gridCol w:w="1150"/>
        <w:gridCol w:w="1950"/>
        <w:gridCol w:w="1750"/>
        <w:gridCol w:w="2700"/>
        <w:gridCol w:w="1160"/>
      </w:tblGrid>
      <w:tr>
        <w:trPr>
          <w:tblHeader/>
        </w:trPr>
        <w:tc>
          <w:tcPr>
            <w:tcW w:type="dxa" w:w="650"/>
            <w:shd w:val="clear" w:color="auto" w:fill="DCE6F2"/>
          </w:tcPr>
          <w:p>
            <w:pPr>
              <w:spacing w:after="20" w:before="20"/>
            </w:pPr>
            <w:r>
              <w:rPr>
                <w:b/>
                <w:i w:val="0"/>
                <w:sz w:val="18"/>
              </w:rPr>
              <w:t>ID</w:t>
            </w:r>
          </w:p>
        </w:tc>
        <w:tc>
          <w:tcPr>
            <w:tcW w:type="dxa" w:w="1150"/>
            <w:shd w:val="clear" w:color="auto" w:fill="DCE6F2"/>
          </w:tcPr>
          <w:p>
            <w:pPr>
              <w:spacing w:after="20" w:before="20"/>
            </w:pPr>
            <w:r>
              <w:rPr>
                <w:b/>
                <w:i w:val="0"/>
                <w:sz w:val="18"/>
              </w:rPr>
              <w:t>As a…</w:t>
            </w:r>
          </w:p>
        </w:tc>
        <w:tc>
          <w:tcPr>
            <w:tcW w:type="dxa" w:w="1950"/>
            <w:shd w:val="clear" w:color="auto" w:fill="DCE6F2"/>
          </w:tcPr>
          <w:p>
            <w:pPr>
              <w:spacing w:after="20" w:before="20"/>
            </w:pPr>
            <w:r>
              <w:rPr>
                <w:b/>
                <w:i w:val="0"/>
                <w:sz w:val="18"/>
              </w:rPr>
              <w:t>I want to…</w:t>
            </w:r>
          </w:p>
        </w:tc>
        <w:tc>
          <w:tcPr>
            <w:tcW w:type="dxa" w:w="1750"/>
            <w:shd w:val="clear" w:color="auto" w:fill="DCE6F2"/>
          </w:tcPr>
          <w:p>
            <w:pPr>
              <w:spacing w:after="20" w:before="20"/>
            </w:pPr>
            <w:r>
              <w:rPr>
                <w:b/>
                <w:i w:val="0"/>
                <w:sz w:val="18"/>
              </w:rPr>
              <w:t>So that…</w:t>
            </w:r>
          </w:p>
        </w:tc>
        <w:tc>
          <w:tcPr>
            <w:tcW w:type="dxa" w:w="2700"/>
            <w:shd w:val="clear" w:color="auto" w:fill="DCE6F2"/>
          </w:tcPr>
          <w:p>
            <w:pPr>
              <w:spacing w:after="20" w:before="20"/>
            </w:pPr>
            <w:r>
              <w:rPr>
                <w:b/>
                <w:i w:val="0"/>
                <w:sz w:val="18"/>
              </w:rPr>
              <w:t>Acceptance criteria</w:t>
            </w:r>
          </w:p>
        </w:tc>
        <w:tc>
          <w:tcPr>
            <w:tcW w:type="dxa" w:w="1160"/>
            <w:shd w:val="clear" w:color="auto" w:fill="DCE6F2"/>
          </w:tcPr>
          <w:p>
            <w:pPr>
              <w:spacing w:after="20" w:before="20"/>
            </w:pPr>
            <w:r>
              <w:rPr>
                <w:b/>
                <w:i w:val="0"/>
                <w:sz w:val="18"/>
              </w:rPr>
              <w:t>Built by / verified by</w:t>
            </w:r>
          </w:p>
        </w:tc>
      </w:tr>
      <w:tr>
        <w:tc>
          <w:tcPr>
            <w:tcW w:type="dxa" w:w="650"/>
          </w:tcPr>
          <w:p>
            <w:pPr>
              <w:spacing w:after="20" w:before="20"/>
            </w:pPr>
            <w:r>
              <w:rPr>
                <w:b/>
                <w:i w:val="0"/>
                <w:sz w:val="18"/>
              </w:rPr>
              <w:t>US-12</w:t>
            </w:r>
          </w:p>
        </w:tc>
        <w:tc>
          <w:tcPr>
            <w:tcW w:type="dxa" w:w="1150"/>
          </w:tcPr>
          <w:p>
            <w:pPr>
              <w:spacing w:after="20" w:before="20"/>
            </w:pPr>
            <w:r>
              <w:rPr>
                <w:b w:val="0"/>
                <w:i w:val="0"/>
                <w:sz w:val="18"/>
              </w:rPr>
              <w:t>Seller / Karandeep</w:t>
            </w:r>
          </w:p>
        </w:tc>
        <w:tc>
          <w:tcPr>
            <w:tcW w:type="dxa" w:w="1950"/>
          </w:tcPr>
          <w:p>
            <w:pPr>
              <w:spacing w:after="20" w:before="20"/>
            </w:pPr>
            <w:r>
              <w:rPr>
                <w:b w:val="0"/>
                <w:i w:val="0"/>
                <w:sz w:val="18"/>
              </w:rPr>
              <w:t>see every contract in progress, how long until it's due, whether it's overdue, its status and who it's waiting on</w:t>
            </w:r>
          </w:p>
        </w:tc>
        <w:tc>
          <w:tcPr>
            <w:tcW w:type="dxa" w:w="1750"/>
          </w:tcPr>
          <w:p>
            <w:pPr>
              <w:spacing w:after="20" w:before="20"/>
            </w:pPr>
            <w:r>
              <w:rPr>
                <w:b w:val="0"/>
                <w:i w:val="0"/>
                <w:sz w:val="18"/>
              </w:rPr>
              <w:t>nobody has to chase, and deadlines don't slip unnoticed</w:t>
            </w:r>
          </w:p>
        </w:tc>
        <w:tc>
          <w:tcPr>
            <w:tcW w:type="dxa" w:w="2700"/>
          </w:tcPr>
          <w:p>
            <w:pPr>
              <w:spacing w:after="20" w:before="20"/>
            </w:pPr>
            <w:r>
              <w:rPr>
                <w:b w:val="0"/>
                <w:i w:val="0"/>
                <w:sz w:val="18"/>
              </w:rPr>
              <w:t>Due in X days / overdue, status (incl. waiting on whom) and latest verdict, sortable by deadline; no "at risk" guessing; urgency never changes how risk is judged.</w:t>
            </w:r>
          </w:p>
        </w:tc>
        <w:tc>
          <w:tcPr>
            <w:tcW w:type="dxa" w:w="1160"/>
          </w:tcPr>
          <w:p>
            <w:pPr>
              <w:spacing w:after="20" w:before="20"/>
            </w:pPr>
            <w:r>
              <w:rPr>
                <w:b w:val="0"/>
                <w:i w:val="0"/>
                <w:sz w:val="18"/>
              </w:rPr>
              <w:t>F8 · FR-14</w:t>
            </w:r>
          </w:p>
        </w:tc>
      </w:tr>
    </w:tbl>
    <w:p>
      <w:pPr>
        <w:spacing w:after="40"/>
      </w:pPr>
    </w:p>
    <w:p>
      <w:pPr>
        <w:pStyle w:val="Heading1"/>
      </w:pPr>
      <w:r>
        <w:rPr>
          <w:b w:val="0"/>
          <w:i w:val="0"/>
        </w:rPr>
        <w:t>5. Model Strategy</w:t>
      </w:r>
    </w:p>
    <w:p>
      <w:pPr>
        <w:shd w:val="clear" w:color="auto" w:fill="EEF3F9"/>
      </w:pPr>
      <w:r>
        <w:rPr>
          <w:b w:val="0"/>
          <w:i w:val="0"/>
          <w:sz w:val="20"/>
        </w:rPr>
        <w:t>Choosing the underlying model and build approach is an engineering decision, made jointly with the product team.</w:t>
      </w:r>
    </w:p>
    <w:p>
      <w:r>
        <w:rPr>
          <w:b/>
          <w:i w:val="0"/>
        </w:rPr>
        <w:t>What product owns</w:t>
      </w:r>
    </w:p>
    <w:p>
      <w:pPr>
        <w:pStyle w:val="ListParagraph"/>
        <w:numPr>
          <w:ilvl w:val="0"/>
          <w:numId w:val="90"/>
        </w:numPr>
        <w:spacing w:after="40"/>
      </w:pPr>
      <w:r>
        <w:rPr>
          <w:b/>
          <w:i w:val="0"/>
        </w:rPr>
        <w:t>Context requirements per role.</w:t>
      </w:r>
    </w:p>
    <w:p>
      <w:pPr>
        <w:pStyle w:val="ListParagraph"/>
        <w:numPr>
          <w:ilvl w:val="1"/>
          <w:numId w:val="90"/>
        </w:numPr>
        <w:spacing w:after="40"/>
      </w:pPr>
      <w:r>
        <w:rPr>
          <w:b w:val="0"/>
          <w:i w:val="0"/>
        </w:rPr>
        <w:t>Karandeep's reviews get the full contract + relevant register entries + playbook + deal notes, with client names, people and amounts masked before they reach the AI provider (FR-26).</w:t>
      </w:r>
    </w:p>
    <w:p>
      <w:pPr>
        <w:pStyle w:val="ListParagraph"/>
        <w:numPr>
          <w:ilvl w:val="1"/>
          <w:numId w:val="90"/>
        </w:numPr>
        <w:spacing w:after="40"/>
      </w:pPr>
      <w:r>
        <w:rPr>
          <w:b w:val="0"/>
          <w:i w:val="0"/>
        </w:rPr>
        <w:t xml:space="preserve">Sellers' kick-off checks get register summaries only: what a restriction </w:t>
      </w:r>
      <w:r>
        <w:rPr>
          <w:b w:val="0"/>
          <w:i/>
        </w:rPr>
        <w:t>means</w:t>
      </w:r>
      <w:r>
        <w:rPr>
          <w:b w:val="0"/>
          <w:i w:val="0"/>
        </w:rPr>
        <w:t xml:space="preserve"> for their deal, without other clients' rates or confidential terms beyond what's needed.</w:t>
      </w:r>
    </w:p>
    <w:p>
      <w:pPr>
        <w:pStyle w:val="ListParagraph"/>
        <w:numPr>
          <w:ilvl w:val="1"/>
          <w:numId w:val="90"/>
        </w:numPr>
        <w:spacing w:after="40"/>
      </w:pPr>
      <w:r>
        <w:rPr>
          <w:b w:val="0"/>
          <w:i w:val="0"/>
        </w:rPr>
        <w:t>Counsel packs include only the documents relevant to the question.</w:t>
      </w:r>
    </w:p>
    <w:p>
      <w:pPr>
        <w:pStyle w:val="ListParagraph"/>
        <w:numPr>
          <w:ilvl w:val="0"/>
          <w:numId w:val="90"/>
        </w:numPr>
        <w:spacing w:after="40"/>
      </w:pPr>
      <w:r>
        <w:rPr>
          <w:b/>
          <w:i w:val="0"/>
        </w:rPr>
        <w:t>Separation of rules and judgment.</w:t>
      </w:r>
      <w:r>
        <w:rPr>
          <w:b w:val="0"/>
          <w:i w:val="0"/>
        </w:rPr>
        <w:t xml:space="preserve"> Pass/fail checks (entity, law, payment days, caps, insurance, required documents, expiry) are deterministic code over AI-extracted fields. LLM reasoning is used only for collisions, fairness, mutuality, flow-down and summaries.</w:t>
      </w:r>
    </w:p>
    <w:p>
      <w:pPr>
        <w:pStyle w:val="ListParagraph"/>
        <w:numPr>
          <w:ilvl w:val="0"/>
          <w:numId w:val="90"/>
        </w:numPr>
        <w:spacing w:after="40"/>
      </w:pPr>
      <w:r>
        <w:rPr>
          <w:b/>
          <w:i w:val="0"/>
        </w:rPr>
        <w:t>Approval gates.</w:t>
      </w:r>
    </w:p>
    <w:p>
      <w:pPr>
        <w:pStyle w:val="ListParagraph"/>
        <w:numPr>
          <w:ilvl w:val="1"/>
          <w:numId w:val="90"/>
        </w:numPr>
        <w:spacing w:after="40"/>
      </w:pPr>
      <w:r>
        <w:rPr>
          <w:b w:val="0"/>
          <w:i w:val="0"/>
        </w:rPr>
        <w:t xml:space="preserve">Register entries are extracted by AI from signed contracts (the existing backlog once, then every new signing) and </w:t>
      </w:r>
      <w:r>
        <w:rPr>
          <w:b/>
          <w:i w:val="0"/>
        </w:rPr>
        <w:t>used in checks immediately</w:t>
      </w:r>
      <w:r>
        <w:rPr>
          <w:b w:val="0"/>
          <w:i w:val="0"/>
        </w:rPr>
        <w:t>, so nothing is missed while verification is pending. Findings that rely on an unverified entry are labelled ("based on an unverified register entry: check source"); Karandeep's verification (source clause shown alongside, ~1 minute per entry) removes the label.</w:t>
      </w:r>
    </w:p>
    <w:p>
      <w:pPr>
        <w:pStyle w:val="ListParagraph"/>
        <w:numPr>
          <w:ilvl w:val="1"/>
          <w:numId w:val="90"/>
        </w:numPr>
        <w:spacing w:after="40"/>
      </w:pPr>
      <w:r>
        <w:rPr>
          <w:b w:val="0"/>
          <w:i w:val="0"/>
        </w:rPr>
        <w:t>Playbook positions become "standard" only after Karandeep approves them.</w:t>
      </w:r>
    </w:p>
    <w:p>
      <w:pPr>
        <w:pStyle w:val="ListParagraph"/>
        <w:numPr>
          <w:ilvl w:val="1"/>
          <w:numId w:val="90"/>
        </w:numPr>
        <w:spacing w:after="40"/>
      </w:pPr>
      <w:r>
        <w:rPr>
          <w:b w:val="0"/>
          <w:i w:val="0"/>
        </w:rPr>
        <w:t>Nothing is ever sent to a counterparty, vendor or counsel by the system.</w:t>
      </w:r>
    </w:p>
    <w:p>
      <w:pPr>
        <w:pStyle w:val="ListParagraph"/>
        <w:numPr>
          <w:ilvl w:val="0"/>
          <w:numId w:val="90"/>
        </w:numPr>
        <w:spacing w:after="40"/>
      </w:pPr>
      <w:r>
        <w:rPr>
          <w:b/>
          <w:i w:val="0"/>
        </w:rPr>
        <w:t>Audit logging.</w:t>
      </w:r>
      <w:r>
        <w:rPr>
          <w:b w:val="0"/>
          <w:i w:val="0"/>
        </w:rPr>
        <w:t xml:space="preserve"> Every finding stores: input document version, register/playbook versions used, model and prompt version, output, and Karandeep's accept/override with reason.</w:t>
      </w:r>
    </w:p>
    <w:p>
      <w:pPr>
        <w:pStyle w:val="ListParagraph"/>
        <w:numPr>
          <w:ilvl w:val="0"/>
          <w:numId w:val="90"/>
        </w:numPr>
        <w:spacing w:after="40"/>
      </w:pPr>
      <w:r>
        <w:rPr>
          <w:b/>
          <w:i w:val="0"/>
        </w:rPr>
        <w:t>Human-in-the-loop controls.</w:t>
      </w:r>
    </w:p>
    <w:p>
      <w:pPr>
        <w:pStyle w:val="ListParagraph"/>
        <w:numPr>
          <w:ilvl w:val="1"/>
          <w:numId w:val="90"/>
        </w:numPr>
        <w:spacing w:after="40"/>
      </w:pPr>
      <w:r>
        <w:rPr>
          <w:b w:val="0"/>
          <w:i w:val="0"/>
        </w:rPr>
        <w:t>Karandeep accepts/overrides each blocker.</w:t>
      </w:r>
    </w:p>
    <w:p>
      <w:pPr>
        <w:pStyle w:val="ListParagraph"/>
        <w:numPr>
          <w:ilvl w:val="1"/>
          <w:numId w:val="90"/>
        </w:numPr>
        <w:spacing w:after="40"/>
      </w:pPr>
      <w:r>
        <w:rPr>
          <w:b w:val="0"/>
          <w:i w:val="0"/>
        </w:rPr>
        <w:t>Sellers confirm deal facts.</w:t>
      </w:r>
    </w:p>
    <w:p>
      <w:pPr>
        <w:pStyle w:val="ListParagraph"/>
        <w:numPr>
          <w:ilvl w:val="1"/>
          <w:numId w:val="90"/>
        </w:numPr>
        <w:spacing w:after="40"/>
      </w:pPr>
      <w:r>
        <w:rPr>
          <w:b w:val="0"/>
          <w:i w:val="0"/>
        </w:rPr>
        <w:t>Compliance events become a pinned compliance alert for Karandeep (and a named owner); the system never handles them itself, and Karandeep closes them with evidence or an attested note.</w:t>
      </w:r>
    </w:p>
    <w:p>
      <w:r>
        <w:rPr>
          <w:b/>
          <w:i w:val="0"/>
        </w:rPr>
        <w:t>Approach guidance for engineering</w:t>
      </w:r>
      <w:r>
        <w:rPr>
          <w:b w:val="0"/>
          <w:i w:val="0"/>
        </w:rPr>
        <w:t xml:space="preserve"> (costed in </w:t>
      </w:r>
      <w:r>
        <w:rPr>
          <w:rFonts w:ascii="Consolas" w:hAnsi="Consolas"/>
          <w:b w:val="0"/>
          <w:i w:val="0"/>
        </w:rPr>
        <w:t>Cost_Estimation_Yours_Legally.xlsx</w:t>
      </w:r>
      <w:r>
        <w:rPr>
          <w:b w:val="0"/>
          <w:i w:val="0"/>
        </w:rPr>
        <w:t>)</w:t>
      </w:r>
    </w:p>
    <w:p>
      <w:pPr>
        <w:pStyle w:val="ListParagraph"/>
        <w:numPr>
          <w:ilvl w:val="0"/>
          <w:numId w:val="90"/>
        </w:numPr>
        <w:spacing w:after="40"/>
      </w:pPr>
      <w:r>
        <w:rPr>
          <w:b w:val="0"/>
          <w:i w:val="0"/>
        </w:rPr>
        <w:t xml:space="preserve">Off-the-shelf LLMs via API; </w:t>
      </w:r>
      <w:r>
        <w:rPr>
          <w:b/>
          <w:i w:val="0"/>
        </w:rPr>
        <w:t>no fine-tuning</w:t>
      </w:r>
      <w:r>
        <w:rPr>
          <w:b w:val="0"/>
          <w:i w:val="0"/>
        </w:rPr>
        <w:t xml:space="preserve"> (too little data, and the playbook must stay editable by Karandeep).</w:t>
      </w:r>
    </w:p>
    <w:p>
      <w:pPr>
        <w:pStyle w:val="ListParagraph"/>
        <w:numPr>
          <w:ilvl w:val="0"/>
          <w:numId w:val="90"/>
        </w:numPr>
        <w:spacing w:after="40"/>
      </w:pPr>
      <w:r>
        <w:rPr>
          <w:b/>
          <w:i w:val="0"/>
        </w:rPr>
        <w:t>Model tiering by task:</w:t>
      </w:r>
      <w:r>
        <w:rPr>
          <w:b w:val="0"/>
          <w:i w:val="0"/>
        </w:rPr>
        <w:t xml:space="preserve"> a small, fast model for intake extraction, classification and the NDA fast lane; a stronger reasoning model with long context for register extraction (one-time per contract) and collision/fairness reasoning.</w:t>
      </w:r>
    </w:p>
    <w:p>
      <w:pPr>
        <w:pStyle w:val="ListParagraph"/>
        <w:numPr>
          <w:ilvl w:val="0"/>
          <w:numId w:val="90"/>
        </w:numPr>
        <w:spacing w:after="40"/>
      </w:pPr>
      <w:r>
        <w:rPr>
          <w:b/>
          <w:i w:val="0"/>
        </w:rPr>
        <w:t>Structured outputs</w:t>
      </w:r>
      <w:r>
        <w:rPr>
          <w:b w:val="0"/>
          <w:i w:val="0"/>
        </w:rPr>
        <w:t xml:space="preserve"> (JSON schemas) for every extraction and finding; free text only in the final brief, generated from structured findings.</w:t>
      </w:r>
    </w:p>
    <w:p>
      <w:pPr>
        <w:pStyle w:val="ListParagraph"/>
        <w:numPr>
          <w:ilvl w:val="0"/>
          <w:numId w:val="90"/>
        </w:numPr>
        <w:spacing w:after="40"/>
      </w:pPr>
      <w:r>
        <w:rPr>
          <w:b/>
          <w:i w:val="0"/>
        </w:rPr>
        <w:t>Two retrieval modes, each used where it fits.</w:t>
      </w:r>
    </w:p>
    <w:p>
      <w:pPr>
        <w:pStyle w:val="ListParagraph"/>
        <w:numPr>
          <w:ilvl w:val="1"/>
          <w:numId w:val="90"/>
        </w:numPr>
        <w:spacing w:after="40"/>
      </w:pPr>
      <w:r>
        <w:rPr>
          <w:b/>
          <w:i w:val="0"/>
        </w:rPr>
        <w:t>Conflict check (F3): structured filter only.</w:t>
      </w:r>
      <w:r>
        <w:rPr>
          <w:b w:val="0"/>
          <w:i w:val="0"/>
        </w:rPr>
        <w:t xml:space="preserve"> Register entries are retrieved by their fields (counterparty, entity incl. affiliates, sector, territory, service, asset, dates). AI does the semantic work once, at extraction ("Dubai hotel chain" → hospitality, GCC); matching is then exact and testable. Similarity search never decides whether a commitment applies, because an entry ranked just outside the top results would be dropped silently.</w:t>
      </w:r>
    </w:p>
    <w:p>
      <w:pPr>
        <w:pStyle w:val="ListParagraph"/>
        <w:numPr>
          <w:ilvl w:val="1"/>
          <w:numId w:val="90"/>
        </w:numPr>
        <w:spacing w:after="40"/>
      </w:pPr>
      <w:r>
        <w:rPr>
          <w:b/>
          <w:i w:val="0"/>
        </w:rPr>
        <w:t>Similar past clauses (F4, FR-22): vector similarity.</w:t>
      </w:r>
      <w:r>
        <w:rPr>
          <w:b w:val="0"/>
          <w:i w:val="0"/>
        </w:rPr>
        <w:t xml:space="preserve"> Each signed clause is embedded once; each key clause under review retrieves the closest signed clauses of the same type. Similarity fits here because a near miss costs little: the result is reference, not a decision input.</w:t>
      </w:r>
    </w:p>
    <w:p>
      <w:pPr>
        <w:pStyle w:val="ListParagraph"/>
        <w:numPr>
          <w:ilvl w:val="1"/>
          <w:numId w:val="90"/>
        </w:numPr>
        <w:spacing w:after="40"/>
      </w:pPr>
      <w:r>
        <w:rPr>
          <w:b/>
          <w:i w:val="0"/>
        </w:rPr>
        <w:t>Storage:</w:t>
      </w:r>
      <w:r>
        <w:rPr>
          <w:b w:val="0"/>
          <w:i w:val="0"/>
        </w:rPr>
        <w:t xml:space="preserve"> embeddings live next to the structured data (Postgres with a vector extension in production; an index file in the prototype), behind a provider-neutral wrapper.</w:t>
      </w:r>
    </w:p>
    <w:p>
      <w:pPr>
        <w:pStyle w:val="ListParagraph"/>
        <w:numPr>
          <w:ilvl w:val="0"/>
          <w:numId w:val="90"/>
        </w:numPr>
        <w:spacing w:after="40"/>
      </w:pPr>
      <w:r>
        <w:rPr>
          <w:b/>
          <w:i w:val="0"/>
        </w:rPr>
        <w:t>Cost shapes scope:</w:t>
      </w:r>
      <w:r>
        <w:rPr>
          <w:b w:val="0"/>
          <w:i w:val="0"/>
        </w:rPr>
        <w:t xml:space="preserve"> on Gemini paid-tier prices, a full contract review costs about $0.50 in AI calls and an NDA about $0.02, roughly $16 a month at today's volume, against about $1,300 a month of review time given back (cost estimation workbook). Model cost is not the constraint; Karandeep's attention is, which is why the brief caps blockers at 3 and every check that can be a rule is a rule.</w:t>
      </w:r>
    </w:p>
    <w:p>
      <w:pPr>
        <w:pStyle w:val="ListParagraph"/>
        <w:numPr>
          <w:ilvl w:val="0"/>
          <w:numId w:val="90"/>
        </w:numPr>
        <w:spacing w:after="40"/>
      </w:pPr>
      <w:r>
        <w:rPr>
          <w:b w:val="0"/>
          <w:i w:val="0"/>
        </w:rPr>
        <w:t xml:space="preserve">Vendor terms must guarantee </w:t>
      </w:r>
      <w:r>
        <w:rPr>
          <w:b/>
          <w:i w:val="0"/>
        </w:rPr>
        <w:t>no training on customer data</w:t>
      </w:r>
      <w:r>
        <w:rPr>
          <w:b w:val="0"/>
          <w:i w:val="0"/>
        </w:rPr>
        <w:t xml:space="preserve"> and no retention beyond processing (§8).</w:t>
      </w:r>
    </w:p>
    <w:p>
      <w:pPr>
        <w:pStyle w:val="ListParagraph"/>
        <w:numPr>
          <w:ilvl w:val="0"/>
          <w:numId w:val="90"/>
        </w:numPr>
        <w:spacing w:after="40"/>
      </w:pPr>
      <w:r>
        <w:rPr>
          <w:b/>
          <w:i w:val="0"/>
        </w:rPr>
        <w:t>Baseline, not a generic risk model.</w:t>
      </w:r>
      <w:r>
        <w:rPr>
          <w:b w:val="0"/>
          <w:i w:val="0"/>
        </w:rPr>
        <w:t xml:space="preserve"> Risk can't be generalised across domains, so the playbook (Karandeep's positions, learned from the signed contracts and approved by him) acts as AtliQ's "ideal contract". Every clause is compared with it, and severity (blocker / high / medium) is the risk score; anything that fails or exceeds the baseline is put in front of Karandeep. Preferences such as a 1x-fees liability cap are recorded as his preference, not a rule.</w:t>
      </w:r>
    </w:p>
    <w:p>
      <w:pPr>
        <w:pStyle w:val="ListParagraph"/>
        <w:numPr>
          <w:ilvl w:val="0"/>
          <w:numId w:val="90"/>
        </w:numPr>
        <w:spacing w:after="40"/>
      </w:pPr>
      <w:r>
        <w:rPr>
          <w:b/>
          <w:i w:val="0"/>
        </w:rPr>
        <w:t>Chosen provider:</w:t>
      </w:r>
      <w:r>
        <w:rPr>
          <w:b w:val="0"/>
          <w:i w:val="0"/>
        </w:rPr>
        <w:t xml:space="preserve"> Google Gemini (flash models for reasoning, flash-lite for extraction, </w:t>
      </w:r>
      <w:r>
        <w:rPr>
          <w:rFonts w:ascii="Consolas" w:hAnsi="Consolas"/>
          <w:b w:val="0"/>
          <w:i w:val="0"/>
        </w:rPr>
        <w:t>gemini-embedding-001</w:t>
      </w:r>
      <w:r>
        <w:rPr>
          <w:b w:val="0"/>
          <w:i w:val="0"/>
        </w:rPr>
        <w:t xml:space="preserve"> for the clause index), each task on a fallback chain of models. A local open model (Ollama) runs the same pipeline for testing at no cost; it scored lower on the evals (32/50 vs 45/50), so it is not used for real reviews.</w:t>
      </w:r>
    </w:p>
    <w:p>
      <w:pPr>
        <w:pStyle w:val="Heading1"/>
      </w:pPr>
      <w:r>
        <w:rPr>
          <w:b w:val="0"/>
          <w:i w:val="0"/>
        </w:rPr>
        <w:t>6. Functional Requirements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100"/>
        <w:gridCol w:w="5360"/>
        <w:gridCol w:w="900"/>
        <w:gridCol w:w="2000"/>
      </w:tblGrid>
      <w:tr>
        <w:trPr>
          <w:tblHeader/>
        </w:trPr>
        <w:tc>
          <w:tcPr>
            <w:tcW w:type="dxa" w:w="1100"/>
            <w:shd w:val="clear" w:color="auto" w:fill="DCE6F2"/>
          </w:tcPr>
          <w:p>
            <w:pPr>
              <w:spacing w:after="20" w:before="20"/>
            </w:pPr>
            <w:r>
              <w:rPr>
                <w:b/>
                <w:i w:val="0"/>
                <w:sz w:val="18"/>
              </w:rPr>
              <w:t>ID</w:t>
            </w:r>
          </w:p>
        </w:tc>
        <w:tc>
          <w:tcPr>
            <w:tcW w:type="dxa" w:w="5360"/>
            <w:shd w:val="clear" w:color="auto" w:fill="DCE6F2"/>
          </w:tcPr>
          <w:p>
            <w:pPr>
              <w:spacing w:after="20" w:before="20"/>
            </w:pPr>
            <w:r>
              <w:rPr>
                <w:b/>
                <w:i w:val="0"/>
                <w:sz w:val="18"/>
              </w:rPr>
              <w:t>Requirement</w:t>
            </w:r>
          </w:p>
        </w:tc>
        <w:tc>
          <w:tcPr>
            <w:tcW w:type="dxa" w:w="900"/>
            <w:shd w:val="clear" w:color="auto" w:fill="DCE6F2"/>
          </w:tcPr>
          <w:p>
            <w:pPr>
              <w:spacing w:after="20" w:before="20"/>
            </w:pPr>
            <w:r>
              <w:rPr>
                <w:b/>
                <w:i w:val="0"/>
                <w:sz w:val="18"/>
              </w:rPr>
              <w:t>Priority</w:t>
            </w:r>
          </w:p>
        </w:tc>
        <w:tc>
          <w:tcPr>
            <w:tcW w:type="dxa" w:w="2000"/>
            <w:shd w:val="clear" w:color="auto" w:fill="DCE6F2"/>
          </w:tcPr>
          <w:p>
            <w:pPr>
              <w:spacing w:after="20" w:before="20"/>
            </w:pPr>
            <w:r>
              <w:rPr>
                <w:b/>
                <w:i w:val="0"/>
                <w:sz w:val="18"/>
              </w:rPr>
              <w:t>Status</w:t>
            </w:r>
          </w:p>
        </w:tc>
      </w:tr>
      <w:tr>
        <w:tc>
          <w:tcPr>
            <w:tcW w:type="dxa" w:w="1100"/>
          </w:tcPr>
          <w:p>
            <w:pPr>
              <w:spacing w:after="20" w:before="20"/>
            </w:pPr>
            <w:r>
              <w:rPr>
                <w:b/>
                <w:i w:val="0"/>
                <w:sz w:val="18"/>
              </w:rPr>
              <w:t>FR-1</w:t>
            </w:r>
            <w:r>
              <w:rPr>
                <w:b w:val="0"/>
                <w:i w:val="0"/>
                <w:sz w:val="18"/>
              </w:rPr>
              <w:t xml:space="preserve"> (F1)</w:t>
            </w:r>
          </w:p>
        </w:tc>
        <w:tc>
          <w:tcPr>
            <w:tcW w:type="dxa" w:w="5360"/>
          </w:tcPr>
          <w:p>
            <w:pPr>
              <w:spacing w:after="20" w:before="20"/>
            </w:pPr>
            <w:r>
              <w:rPr>
                <w:b w:val="0"/>
                <w:i w:val="0"/>
                <w:sz w:val="18"/>
              </w:rPr>
              <w:t xml:space="preserve">Build an obligations register by AI extraction from signed contracts (existing backlog once, then each new signing): commitment type (non-compete, exclusivity, MFN/pricing, IP transfer/retention, data/location, insurance, non-solicit, </w:t>
            </w:r>
            <w:r>
              <w:rPr>
                <w:b/>
                <w:i w:val="0"/>
                <w:sz w:val="18"/>
              </w:rPr>
              <w:t>other</w:t>
            </w:r>
            <w:r>
              <w:rPr>
                <w:b w:val="0"/>
                <w:i w:val="0"/>
                <w:sz w:val="18"/>
              </w:rPr>
              <w:t>), binding entity incl. affiliates, scope (sector, geography, services, assets), start/expiry, waivers/amendments linked, verbatim source quote and clause number. Status live/expired computed by rule.</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w:t>
            </w:r>
            <w:r>
              <w:rPr>
                <w:b w:val="0"/>
                <w:i w:val="0"/>
                <w:sz w:val="18"/>
              </w:rPr>
              <w:t xml:space="preserve"> (F1)</w:t>
            </w:r>
          </w:p>
        </w:tc>
        <w:tc>
          <w:tcPr>
            <w:tcW w:type="dxa" w:w="5360"/>
          </w:tcPr>
          <w:p>
            <w:pPr>
              <w:spacing w:after="20" w:before="20"/>
            </w:pPr>
            <w:r>
              <w:rPr>
                <w:b/>
                <w:i w:val="0"/>
                <w:sz w:val="18"/>
              </w:rPr>
              <w:t>Register screen (Karandeep only):</w:t>
            </w:r>
            <w:r>
              <w:rPr>
                <w:b w:val="0"/>
                <w:i w:val="0"/>
                <w:sz w:val="18"/>
              </w:rPr>
              <w:t xml:space="preserve"> commitments split into </w:t>
            </w:r>
            <w:r>
              <w:rPr>
                <w:b/>
                <w:i w:val="0"/>
                <w:sz w:val="18"/>
              </w:rPr>
              <w:t>Restrictions</w:t>
            </w:r>
            <w:r>
              <w:rPr>
                <w:b w:val="0"/>
                <w:i w:val="0"/>
                <w:sz w:val="18"/>
              </w:rPr>
              <w:t xml:space="preserve"> (can block a new deal: non-competes, exclusivity, pricing promises, IP given away) and </w:t>
            </w:r>
            <w:r>
              <w:rPr>
                <w:b/>
                <w:i w:val="0"/>
                <w:sz w:val="18"/>
              </w:rPr>
              <w:t>Duties</w:t>
            </w:r>
            <w:r>
              <w:rPr>
                <w:b w:val="0"/>
                <w:i w:val="0"/>
                <w:sz w:val="18"/>
              </w:rPr>
              <w:t xml:space="preserve"> (must keep performing: data location, breach notices, insurance, audits), filterable by live/expired, client, region and type; each shows its source clause with Verify / Edit / Reject and is reachable from any finding. Entries are used in checks as soon as they are extracted; findings based on unverified entries are labelled until verified. Edits and rejections re-check only the open deals they can affect. Sellers never see the register.</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FR-3</w:t>
            </w:r>
            <w:r>
              <w:rPr>
                <w:b w:val="0"/>
                <w:i w:val="0"/>
                <w:sz w:val="18"/>
              </w:rPr>
              <w:t xml:space="preserve"> (F2)</w:t>
            </w:r>
          </w:p>
        </w:tc>
        <w:tc>
          <w:tcPr>
            <w:tcW w:type="dxa" w:w="5360"/>
          </w:tcPr>
          <w:p>
            <w:pPr>
              <w:spacing w:after="20" w:before="20"/>
            </w:pPr>
            <w:r>
              <w:rPr>
                <w:b w:val="0"/>
                <w:i w:val="0"/>
                <w:sz w:val="18"/>
              </w:rPr>
              <w:t xml:space="preserve">On upload (into a deal or as a new one), read the file (PDF, Word .docx or text; scanned PDFs by OCR, marked as such; old .doc refused with what to do instead). Before any model call, rules say what the upload is (notes or an update, a new version, an additional document, another deal's file, or a blank template, which is refused) and the user confirms. Then extract document type, parties, AtliQ entity, side of table, client country, governing law/forum, payment terms, LD/liability caps, insurance requirements, referenced annexes and cross-references. </w:t>
            </w:r>
            <w:r>
              <w:rPr>
                <w:b/>
                <w:i w:val="0"/>
                <w:sz w:val="18"/>
              </w:rPr>
              <w:t>Link it to its deal by certainty:</w:t>
            </w:r>
            <w:r>
              <w:rPr>
                <w:b w:val="0"/>
                <w:i w:val="0"/>
                <w:sz w:val="18"/>
              </w:rPr>
              <w:t xml:space="preserve"> certain (explicit cross-reference, or one open deal with that counterparty) → linked automatically, shown with "Change"; ambiguous → ask once; no match → new deal, with "Change". The user's choice is final (matching never re-runs on re-checks; only "Move to another deal" changes it) and overrides update counterparty aliases. For AtliQ's own paper, the end client named in it links the flow-down check.</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FR-4</w:t>
            </w:r>
            <w:r>
              <w:rPr>
                <w:b w:val="0"/>
                <w:i w:val="0"/>
                <w:sz w:val="18"/>
              </w:rPr>
              <w:t xml:space="preserve"> (F2)</w:t>
            </w:r>
          </w:p>
        </w:tc>
        <w:tc>
          <w:tcPr>
            <w:tcW w:type="dxa" w:w="5360"/>
          </w:tcPr>
          <w:p>
            <w:pPr>
              <w:spacing w:after="20" w:before="20"/>
            </w:pPr>
            <w:r>
              <w:rPr>
                <w:b w:val="0"/>
                <w:i w:val="0"/>
                <w:sz w:val="18"/>
              </w:rPr>
              <w:t xml:space="preserve">Apply deterministic gate rules: entity matches client country; parties entity = invoicing entity; governing law vs entity; payment ≤45 days; LDs capped; liability capped; insurance required vs held; referenced annexes present. Show each as pass/fail with clause in a </w:t>
            </w:r>
            <w:r>
              <w:rPr>
                <w:b/>
                <w:i w:val="0"/>
                <w:sz w:val="18"/>
              </w:rPr>
              <w:t>"Contract facts" card</w:t>
            </w:r>
            <w:r>
              <w:rPr>
                <w:b w:val="0"/>
                <w:i w:val="0"/>
                <w:sz w:val="18"/>
              </w:rPr>
              <w:t xml:space="preserve"> (each extracted field with its source snippet, editable; edits re-run the rules).</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FR-5</w:t>
            </w:r>
            <w:r>
              <w:rPr>
                <w:b w:val="0"/>
                <w:i w:val="0"/>
                <w:sz w:val="18"/>
              </w:rPr>
              <w:t xml:space="preserve"> (F2)</w:t>
            </w:r>
          </w:p>
        </w:tc>
        <w:tc>
          <w:tcPr>
            <w:tcW w:type="dxa" w:w="5360"/>
          </w:tcPr>
          <w:p>
            <w:pPr>
              <w:spacing w:after="20" w:before="20"/>
            </w:pPr>
            <w:r>
              <w:rPr>
                <w:b w:val="0"/>
                <w:i w:val="0"/>
                <w:sz w:val="18"/>
              </w:rPr>
              <w:t xml:space="preserve">Route by document type: </w:t>
            </w:r>
            <w:r>
              <w:rPr>
                <w:b/>
                <w:i w:val="0"/>
                <w:sz w:val="18"/>
              </w:rPr>
              <w:t>NDAs → fast lane</w:t>
            </w:r>
            <w:r>
              <w:rPr>
                <w:b w:val="0"/>
                <w:i w:val="0"/>
                <w:sz w:val="18"/>
              </w:rPr>
              <w:t xml:space="preserve"> (mutuality checklist + covenant scan against the register), target &lt;1 minute; all other types → full review (F3–F5).</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FR-6</w:t>
            </w:r>
            <w:r>
              <w:rPr>
                <w:b w:val="0"/>
                <w:i w:val="0"/>
                <w:sz w:val="18"/>
              </w:rPr>
              <w:t xml:space="preserve"> (F3)</w:t>
            </w:r>
          </w:p>
        </w:tc>
        <w:tc>
          <w:tcPr>
            <w:tcW w:type="dxa" w:w="5360"/>
          </w:tcPr>
          <w:p>
            <w:pPr>
              <w:spacing w:after="20" w:before="20"/>
            </w:pPr>
            <w:r>
              <w:rPr>
                <w:b w:val="0"/>
                <w:i w:val="0"/>
                <w:sz w:val="18"/>
              </w:rPr>
              <w:t>Check the contract and deal facts against every live register entry; output severity, both clauses verbatim, affected deals, expiry, applicable waivers, and whether the entry is verified; never assert "breach" on interpretive questions. Live commitments of a kind the check can't compare are listed in the brief under "what wasn't seen" for a manual check, never left out silently.</w:t>
            </w:r>
          </w:p>
        </w:tc>
        <w:tc>
          <w:tcPr>
            <w:tcW w:type="dxa" w:w="900"/>
          </w:tcPr>
          <w:p>
            <w:pPr>
              <w:spacing w:after="20" w:before="20"/>
            </w:pPr>
            <w:r>
              <w:rPr>
                <w:b w:val="0"/>
                <w:i w:val="0"/>
                <w:sz w:val="18"/>
              </w:rPr>
              <w:t>Must</w:t>
            </w:r>
          </w:p>
        </w:tc>
        <w:tc>
          <w:tcPr>
            <w:tcW w:type="dxa" w:w="2000"/>
          </w:tcPr>
          <w:p>
            <w:pPr>
              <w:spacing w:after="20" w:before="20"/>
            </w:pPr>
            <w:r>
              <w:rPr>
                <w:b w:val="0"/>
                <w:i w:val="0"/>
                <w:sz w:val="18"/>
              </w:rPr>
              <w:t>Built for non-competes, exclusivity, pricing promises and IP given away / not received; other kinds listed for a manual check</w:t>
            </w:r>
          </w:p>
        </w:tc>
      </w:tr>
      <w:tr>
        <w:tc>
          <w:tcPr>
            <w:tcW w:type="dxa" w:w="1100"/>
          </w:tcPr>
          <w:p>
            <w:pPr>
              <w:spacing w:after="20" w:before="20"/>
            </w:pPr>
            <w:r>
              <w:rPr>
                <w:b/>
                <w:i w:val="0"/>
                <w:sz w:val="18"/>
              </w:rPr>
              <w:t>FR-7</w:t>
            </w:r>
            <w:r>
              <w:rPr>
                <w:b w:val="0"/>
                <w:i w:val="0"/>
                <w:sz w:val="18"/>
              </w:rPr>
              <w:t xml:space="preserve"> (F4)</w:t>
            </w:r>
          </w:p>
        </w:tc>
        <w:tc>
          <w:tcPr>
            <w:tcW w:type="dxa" w:w="5360"/>
          </w:tcPr>
          <w:p>
            <w:pPr>
              <w:spacing w:after="20" w:before="20"/>
            </w:pPr>
            <w:r>
              <w:rPr>
                <w:b w:val="0"/>
                <w:i w:val="0"/>
                <w:sz w:val="18"/>
              </w:rPr>
              <w:t xml:space="preserve">Compare key clauses to the approved playbook; show standard position and Karandeep's precedent labelled standard/exception/concession/accident; in </w:t>
            </w:r>
            <w:r>
              <w:rPr>
                <w:b/>
                <w:i w:val="0"/>
                <w:sz w:val="18"/>
              </w:rPr>
              <w:t>mirror mode</w:t>
            </w:r>
            <w:r>
              <w:rPr>
                <w:b w:val="0"/>
                <w:i w:val="0"/>
                <w:sz w:val="18"/>
              </w:rPr>
              <w:t xml:space="preserve"> apply the same standard to AtliQ's own paper and check flow-down against the linked client deal.</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FR-8</w:t>
            </w:r>
            <w:r>
              <w:rPr>
                <w:b w:val="0"/>
                <w:i w:val="0"/>
                <w:sz w:val="18"/>
              </w:rPr>
              <w:t xml:space="preserve"> (F4)</w:t>
            </w:r>
          </w:p>
        </w:tc>
        <w:tc>
          <w:tcPr>
            <w:tcW w:type="dxa" w:w="5360"/>
          </w:tcPr>
          <w:p>
            <w:pPr>
              <w:spacing w:after="20" w:before="20"/>
            </w:pPr>
            <w:r>
              <w:rPr>
                <w:b w:val="0"/>
                <w:i w:val="0"/>
                <w:sz w:val="18"/>
              </w:rPr>
              <w:t>NDA mutuality checklist: who is protected by the confidentiality definition, whose obligations, residuals, remedies/indemnity, hidden covenants (non-compete/non-solicit), term. Title is ignored.</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FR-9</w:t>
            </w:r>
            <w:r>
              <w:rPr>
                <w:b w:val="0"/>
                <w:i w:val="0"/>
                <w:sz w:val="18"/>
              </w:rPr>
              <w:t xml:space="preserve"> (F5)</w:t>
            </w:r>
          </w:p>
        </w:tc>
        <w:tc>
          <w:tcPr>
            <w:tcW w:type="dxa" w:w="5360"/>
          </w:tcPr>
          <w:p>
            <w:pPr>
              <w:spacing w:after="20" w:before="20"/>
            </w:pPr>
            <w:r>
              <w:rPr>
                <w:b w:val="0"/>
                <w:i w:val="0"/>
                <w:sz w:val="18"/>
              </w:rPr>
              <w:t>For each deal, list required documents per party by deal type (e.g. US healthcare: NDA + BAA + MSA + sub-BAA per subcontractor/affiliate; EU personal data: DPA + SCCs + sub-processor terms) and their status; the verdict cannot be SIGN until complete.</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FR-10</w:t>
            </w:r>
            <w:r>
              <w:rPr>
                <w:b w:val="0"/>
                <w:i w:val="0"/>
                <w:sz w:val="18"/>
              </w:rPr>
              <w:t xml:space="preserve"> (F5)</w:t>
            </w:r>
          </w:p>
        </w:tc>
        <w:tc>
          <w:tcPr>
            <w:tcW w:type="dxa" w:w="5360"/>
          </w:tcPr>
          <w:p>
            <w:pPr>
              <w:spacing w:after="20" w:before="20"/>
            </w:pPr>
            <w:r>
              <w:rPr>
                <w:b w:val="0"/>
                <w:i w:val="0"/>
                <w:sz w:val="18"/>
              </w:rPr>
              <w:t xml:space="preserve">Scan tracker and meeting notes linked to the deal for data-movement, staffing and commitment facts; present as "please confirm" prompts (Confirm / Not true / Edit). Confirmed compliance events (e.g. regulated data moved before the required agreement) raise a </w:t>
            </w:r>
            <w:r>
              <w:rPr>
                <w:b/>
                <w:i w:val="0"/>
                <w:sz w:val="18"/>
              </w:rPr>
              <w:t>compliance alert</w:t>
            </w:r>
            <w:r>
              <w:rPr>
                <w:b w:val="0"/>
                <w:i w:val="0"/>
                <w:sz w:val="18"/>
              </w:rPr>
              <w:t xml:space="preserve"> (FR-21).</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FR-11</w:t>
            </w:r>
            <w:r>
              <w:rPr>
                <w:b w:val="0"/>
                <w:i w:val="0"/>
                <w:sz w:val="18"/>
              </w:rPr>
              <w:t xml:space="preserve"> (F6)</w:t>
            </w:r>
          </w:p>
        </w:tc>
        <w:tc>
          <w:tcPr>
            <w:tcW w:type="dxa" w:w="5360"/>
          </w:tcPr>
          <w:p>
            <w:pPr>
              <w:spacing w:after="20" w:before="20"/>
            </w:pPr>
            <w:r>
              <w:rPr>
                <w:b w:val="0"/>
                <w:i w:val="0"/>
                <w:sz w:val="18"/>
              </w:rPr>
              <w:t>Generate the decision brief per §9.1 from structured findings only; generate a counsel pack (draft, conflicting clauses, waivers, entity facts, the exact question) when a finding is tier-4.</w:t>
            </w:r>
          </w:p>
        </w:tc>
        <w:tc>
          <w:tcPr>
            <w:tcW w:type="dxa" w:w="900"/>
          </w:tcPr>
          <w:p>
            <w:pPr>
              <w:spacing w:after="20" w:before="20"/>
            </w:pPr>
            <w:r>
              <w:rPr>
                <w:b w:val="0"/>
                <w:i w:val="0"/>
                <w:sz w:val="18"/>
              </w:rPr>
              <w:t>Must</w:t>
            </w:r>
          </w:p>
        </w:tc>
        <w:tc>
          <w:tcPr>
            <w:tcW w:type="dxa" w:w="2000"/>
          </w:tcPr>
          <w:p>
            <w:pPr>
              <w:spacing w:after="20" w:before="20"/>
            </w:pPr>
            <w:r>
              <w:rPr>
                <w:b w:val="0"/>
                <w:i w:val="0"/>
                <w:sz w:val="18"/>
              </w:rPr>
              <w:t>Built (counsel pack as preview)</w:t>
            </w:r>
          </w:p>
        </w:tc>
      </w:tr>
      <w:tr>
        <w:tc>
          <w:tcPr>
            <w:tcW w:type="dxa" w:w="1100"/>
          </w:tcPr>
          <w:p>
            <w:pPr>
              <w:spacing w:after="20" w:before="20"/>
            </w:pPr>
            <w:r>
              <w:rPr>
                <w:b/>
                <w:i w:val="0"/>
                <w:sz w:val="18"/>
              </w:rPr>
              <w:t>FR-12</w:t>
            </w:r>
            <w:r>
              <w:rPr>
                <w:b w:val="0"/>
                <w:i w:val="0"/>
                <w:sz w:val="18"/>
              </w:rPr>
              <w:t xml:space="preserve"> (all)</w:t>
            </w:r>
          </w:p>
        </w:tc>
        <w:tc>
          <w:tcPr>
            <w:tcW w:type="dxa" w:w="5360"/>
          </w:tcPr>
          <w:p>
            <w:pPr>
              <w:spacing w:after="20" w:before="20"/>
            </w:pPr>
            <w:r>
              <w:rPr>
                <w:b/>
                <w:i w:val="0"/>
                <w:sz w:val="18"/>
              </w:rPr>
              <w:t>Decision &amp; feedback capture, in the brief:</w:t>
            </w:r>
            <w:r>
              <w:rPr>
                <w:b w:val="0"/>
                <w:i w:val="0"/>
                <w:sz w:val="18"/>
              </w:rPr>
              <w:t xml:space="preserve"> per blocker/high finding, Agree / Disagree / Change severity; a reason code only when disagreeing with a blocker (not a real issue · wrong clause · already handled · accepting deliberately → one-off or new standard); "Accept all" for medium items only; "+ Something the brief missed"; decision buttons (Sign · Sign after changes · Hold · Send back · Reject · Escalate to counsel) that update the queue and are </w:t>
            </w:r>
            <w:r>
              <w:rPr>
                <w:b/>
                <w:i w:val="0"/>
                <w:sz w:val="18"/>
              </w:rPr>
              <w:t>recorded, never executed</w:t>
            </w:r>
            <w:r>
              <w:rPr>
                <w:b w:val="0"/>
                <w:i w:val="0"/>
                <w:sz w:val="18"/>
              </w:rPr>
              <w:t xml:space="preserve">; one question after deciding: "Did you need to open the full contract or other documents?". The decision counts only when Karandeep </w:t>
            </w:r>
            <w:r>
              <w:rPr>
                <w:b/>
                <w:i w:val="0"/>
                <w:sz w:val="18"/>
              </w:rPr>
              <w:t>finalises the review</w:t>
            </w:r>
            <w:r>
              <w:rPr>
                <w:b w:val="0"/>
                <w:i w:val="0"/>
                <w:sz w:val="18"/>
              </w:rPr>
              <w:t>, which needs a reaction on every blocker and high finding; changing anything reopens it. Each finding names who acts as a role (Karandeep, AtliQ before sending, deal team, tech lead, seller, other side, counsel), not a person.</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FR-13</w:t>
            </w:r>
            <w:r>
              <w:rPr>
                <w:b w:val="0"/>
                <w:i w:val="0"/>
                <w:sz w:val="18"/>
              </w:rPr>
              <w:t xml:space="preserve"> (F7)</w:t>
            </w:r>
          </w:p>
        </w:tc>
        <w:tc>
          <w:tcPr>
            <w:tcW w:type="dxa" w:w="5360"/>
          </w:tcPr>
          <w:p>
            <w:pPr>
              <w:spacing w:after="20" w:before="20"/>
            </w:pPr>
            <w:r>
              <w:rPr>
                <w:b/>
                <w:i w:val="0"/>
                <w:sz w:val="18"/>
              </w:rPr>
              <w:t>Seller deal check:</w:t>
            </w:r>
            <w:r>
              <w:rPr>
                <w:b w:val="0"/>
                <w:i w:val="0"/>
                <w:sz w:val="18"/>
              </w:rPr>
              <w:t xml:space="preserve"> a short form (client, sector, regions/sites, services, rates by role, tools to reuse, who touches data and where, plus one free-text "anything else you're promising?"; the first four required) → per item clear / needs attention / conflict / couldn't check, about AtliQ's obligations only, stamped </w:t>
            </w:r>
            <w:r>
              <w:rPr>
                <w:b/>
                <w:i w:val="0"/>
                <w:sz w:val="18"/>
              </w:rPr>
              <w:t>"As of [date]; the contract review is the final word"</w:t>
            </w:r>
            <w:r>
              <w:rPr>
                <w:b w:val="0"/>
                <w:i w:val="0"/>
                <w:sz w:val="18"/>
              </w:rPr>
              <w:t xml:space="preserve"> with the register version. Editing the plan re-checks only changed items. Sellers share one view of the seller side of every deal, never a brief, the register or another client's terms.</w:t>
            </w:r>
          </w:p>
        </w:tc>
        <w:tc>
          <w:tcPr>
            <w:tcW w:type="dxa" w:w="900"/>
          </w:tcPr>
          <w:p>
            <w:pPr>
              <w:spacing w:after="20" w:before="20"/>
            </w:pPr>
            <w:r>
              <w:rPr>
                <w:b w:val="0"/>
                <w:i w:val="0"/>
                <w:sz w:val="18"/>
              </w:rPr>
              <w:t>Should</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FR-14</w:t>
            </w:r>
            <w:r>
              <w:rPr>
                <w:b w:val="0"/>
                <w:i w:val="0"/>
                <w:sz w:val="18"/>
              </w:rPr>
              <w:t xml:space="preserve"> (F8)</w:t>
            </w:r>
          </w:p>
        </w:tc>
        <w:tc>
          <w:tcPr>
            <w:tcW w:type="dxa" w:w="5360"/>
          </w:tcPr>
          <w:p>
            <w:pPr>
              <w:spacing w:after="20" w:before="20"/>
            </w:pPr>
            <w:r>
              <w:rPr>
                <w:b w:val="0"/>
                <w:i w:val="0"/>
                <w:sz w:val="18"/>
              </w:rPr>
              <w:t xml:space="preserve">Shared queue with </w:t>
            </w:r>
            <w:r>
              <w:rPr>
                <w:b/>
                <w:i w:val="0"/>
                <w:sz w:val="18"/>
              </w:rPr>
              <w:t>deadline tracking</w:t>
            </w:r>
            <w:r>
              <w:rPr>
                <w:b w:val="0"/>
                <w:i w:val="0"/>
                <w:sz w:val="18"/>
              </w:rPr>
              <w:t xml:space="preserve">: client deadline captured at kick-off or upload (editable); each contract shows </w:t>
            </w:r>
            <w:r>
              <w:rPr>
                <w:b/>
                <w:i w:val="0"/>
                <w:sz w:val="18"/>
              </w:rPr>
              <w:t>"due in X days"</w:t>
            </w:r>
            <w:r>
              <w:rPr>
                <w:b w:val="0"/>
                <w:i w:val="0"/>
                <w:sz w:val="18"/>
              </w:rPr>
              <w:t xml:space="preserve"> or </w:t>
            </w:r>
            <w:r>
              <w:rPr>
                <w:b/>
                <w:i w:val="0"/>
                <w:sz w:val="18"/>
              </w:rPr>
              <w:t>"overdue"</w:t>
            </w:r>
            <w:r>
              <w:rPr>
                <w:b w:val="0"/>
                <w:i w:val="0"/>
                <w:sz w:val="18"/>
              </w:rPr>
              <w:t>, status (incl. "waiting for input" + owner) and latest verdict; sortable by deadline. No "at risk" prediction (offline decisions aren't visible). Deadline affects order and visibility only, never risk judgment. Non-AI. The queue is grouped by AtliQ's side of the deal (selling, buying, partnerships, NDAs) and shows "review in progress x/y" until a review is finalised.</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FR-15</w:t>
            </w:r>
            <w:r>
              <w:rPr>
                <w:b w:val="0"/>
                <w:i w:val="0"/>
                <w:sz w:val="18"/>
              </w:rPr>
              <w:t xml:space="preserve"> (all)</w:t>
            </w:r>
          </w:p>
        </w:tc>
        <w:tc>
          <w:tcPr>
            <w:tcW w:type="dxa" w:w="5360"/>
          </w:tcPr>
          <w:p>
            <w:pPr>
              <w:spacing w:after="20" w:before="20"/>
            </w:pPr>
            <w:r>
              <w:rPr>
                <w:b/>
                <w:i w:val="0"/>
                <w:sz w:val="18"/>
              </w:rPr>
              <w:t>Audit log:</w:t>
            </w:r>
            <w:r>
              <w:rPr>
                <w:b w:val="0"/>
                <w:i w:val="0"/>
                <w:sz w:val="18"/>
              </w:rPr>
              <w:t xml:space="preserve"> every finding and interaction (contract, brief version, finding, action, reason, note, time, user, register/playbook/model/prompt versions), plus passive signals (sources opened beyond cited clauses, time on brief, re-opens).</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FR-16</w:t>
            </w:r>
            <w:r>
              <w:rPr>
                <w:b w:val="0"/>
                <w:i w:val="0"/>
                <w:sz w:val="18"/>
              </w:rPr>
              <w:t xml:space="preserve"> (all)</w:t>
            </w:r>
          </w:p>
        </w:tc>
        <w:tc>
          <w:tcPr>
            <w:tcW w:type="dxa" w:w="5360"/>
          </w:tcPr>
          <w:p>
            <w:pPr>
              <w:spacing w:after="20" w:before="20"/>
            </w:pPr>
            <w:r>
              <w:rPr>
                <w:b/>
                <w:i w:val="0"/>
                <w:sz w:val="18"/>
              </w:rPr>
              <w:t>Feedback loop:</w:t>
            </w:r>
            <w:r>
              <w:rPr>
                <w:b w:val="0"/>
                <w:i w:val="0"/>
                <w:sz w:val="18"/>
              </w:rPr>
              <w:t xml:space="preserve"> "accepting deliberately → new standard" and repeated overrides generate playbook proposals for Karandeep's approval; "missed" entries are added to the eval set as regression cases.</w:t>
            </w:r>
          </w:p>
        </w:tc>
        <w:tc>
          <w:tcPr>
            <w:tcW w:type="dxa" w:w="900"/>
          </w:tcPr>
          <w:p>
            <w:pPr>
              <w:spacing w:after="20" w:before="20"/>
            </w:pPr>
            <w:r>
              <w:rPr>
                <w:b w:val="0"/>
                <w:i w:val="0"/>
                <w:sz w:val="18"/>
              </w:rPr>
              <w:t>Should</w:t>
            </w:r>
          </w:p>
        </w:tc>
        <w:tc>
          <w:tcPr>
            <w:tcW w:type="dxa" w:w="2000"/>
          </w:tcPr>
          <w:p>
            <w:pPr>
              <w:spacing w:after="20" w:before="20"/>
            </w:pPr>
            <w:r>
              <w:rPr>
                <w:b w:val="0"/>
                <w:i w:val="0"/>
                <w:sz w:val="18"/>
              </w:rPr>
              <w:t>Not built</w:t>
            </w:r>
          </w:p>
        </w:tc>
      </w:tr>
      <w:tr>
        <w:tc>
          <w:tcPr>
            <w:tcW w:type="dxa" w:w="1100"/>
          </w:tcPr>
          <w:p>
            <w:pPr>
              <w:spacing w:after="20" w:before="20"/>
            </w:pPr>
            <w:r>
              <w:rPr>
                <w:b/>
                <w:i w:val="0"/>
                <w:sz w:val="18"/>
              </w:rPr>
              <w:t>FR-17</w:t>
            </w:r>
            <w:r>
              <w:rPr>
                <w:b w:val="0"/>
                <w:i w:val="0"/>
                <w:sz w:val="18"/>
              </w:rPr>
              <w:t xml:space="preserve"> (F2, F6)</w:t>
            </w:r>
          </w:p>
        </w:tc>
        <w:tc>
          <w:tcPr>
            <w:tcW w:type="dxa" w:w="5360"/>
          </w:tcPr>
          <w:p>
            <w:pPr>
              <w:spacing w:after="20" w:before="20"/>
            </w:pPr>
            <w:r>
              <w:rPr>
                <w:b/>
                <w:i w:val="0"/>
                <w:sz w:val="18"/>
              </w:rPr>
              <w:t>Hybrid gate, waiting for input and versions:</w:t>
            </w:r>
            <w:r>
              <w:rPr>
                <w:b w:val="0"/>
                <w:i w:val="0"/>
                <w:sz w:val="18"/>
              </w:rPr>
              <w:t xml:space="preserve"> if the main agreement is readable, the deep review runs even when gate checks fail; it waits only when the main agreement is missing, unreadable or the wrong document, and says so. With inputs missing, the brief is still issued (HOLD or SEND BACK, each missing item and its owner) and the queue shows "waiting for input". Uploading into a deal re-checks it into a new brief version (New / Still open / Resolved, earlier reactions carried forward); a </w:t>
            </w:r>
            <w:r>
              <w:rPr>
                <w:b/>
                <w:i w:val="0"/>
                <w:sz w:val="18"/>
              </w:rPr>
              <w:t>Sync</w:t>
            </w:r>
            <w:r>
              <w:rPr>
                <w:b w:val="0"/>
                <w:i w:val="0"/>
                <w:sz w:val="18"/>
              </w:rPr>
              <w:t xml:space="preserve"> prompt appears only when the brief is out of date for another reason (register changed, a step failed).</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FR-18</w:t>
            </w:r>
            <w:r>
              <w:rPr>
                <w:b w:val="0"/>
                <w:i w:val="0"/>
                <w:sz w:val="18"/>
              </w:rPr>
              <w:t xml:space="preserve"> (all)</w:t>
            </w:r>
          </w:p>
        </w:tc>
        <w:tc>
          <w:tcPr>
            <w:tcW w:type="dxa" w:w="5360"/>
          </w:tcPr>
          <w:p>
            <w:pPr>
              <w:spacing w:after="20" w:before="20"/>
            </w:pPr>
            <w:r>
              <w:rPr>
                <w:b/>
                <w:i w:val="0"/>
                <w:sz w:val="18"/>
              </w:rPr>
              <w:t>Automatic late-finding detection:</w:t>
            </w:r>
            <w:r>
              <w:rPr>
                <w:b w:val="0"/>
                <w:i w:val="0"/>
                <w:sz w:val="18"/>
              </w:rPr>
              <w:t xml:space="preserve"> for each finding appearing for the first time in a later version, compare against the previous version. If the previous version ran the deep review and the relevant contract text, deal facts, register and playbook are unchanged, mark it a </w:t>
            </w:r>
            <w:r>
              <w:rPr>
                <w:b/>
                <w:i w:val="0"/>
                <w:sz w:val="18"/>
              </w:rPr>
              <w:t>late finding</w:t>
            </w:r>
            <w:r>
              <w:rPr>
                <w:b w:val="0"/>
                <w:i w:val="0"/>
                <w:sz w:val="18"/>
              </w:rPr>
              <w:t xml:space="preserve"> (a miss on the previous version); otherwise mark it legitimately new. No user input required.</w:t>
            </w:r>
          </w:p>
        </w:tc>
        <w:tc>
          <w:tcPr>
            <w:tcW w:type="dxa" w:w="900"/>
          </w:tcPr>
          <w:p>
            <w:pPr>
              <w:spacing w:after="20" w:before="20"/>
            </w:pPr>
            <w:r>
              <w:rPr>
                <w:b w:val="0"/>
                <w:i w:val="0"/>
                <w:sz w:val="18"/>
              </w:rPr>
              <w:t>Must</w:t>
            </w:r>
          </w:p>
        </w:tc>
        <w:tc>
          <w:tcPr>
            <w:tcW w:type="dxa" w:w="2000"/>
          </w:tcPr>
          <w:p>
            <w:pPr>
              <w:spacing w:after="20" w:before="20"/>
            </w:pPr>
            <w:r>
              <w:rPr>
                <w:b w:val="0"/>
                <w:i w:val="0"/>
                <w:sz w:val="18"/>
              </w:rPr>
              <w:t>Not built</w:t>
            </w:r>
          </w:p>
        </w:tc>
      </w:tr>
      <w:tr>
        <w:tc>
          <w:tcPr>
            <w:tcW w:type="dxa" w:w="1100"/>
          </w:tcPr>
          <w:p>
            <w:pPr>
              <w:spacing w:after="20" w:before="20"/>
            </w:pPr>
            <w:r>
              <w:rPr>
                <w:b/>
                <w:i w:val="0"/>
                <w:sz w:val="18"/>
              </w:rPr>
              <w:t>FR-19</w:t>
            </w:r>
            <w:r>
              <w:rPr>
                <w:b w:val="0"/>
                <w:i w:val="0"/>
                <w:sz w:val="18"/>
              </w:rPr>
              <w:t xml:space="preserve"> (F7, F6)</w:t>
            </w:r>
          </w:p>
        </w:tc>
        <w:tc>
          <w:tcPr>
            <w:tcW w:type="dxa" w:w="5360"/>
          </w:tcPr>
          <w:p>
            <w:pPr>
              <w:spacing w:after="20" w:before="20"/>
            </w:pPr>
            <w:r>
              <w:rPr>
                <w:b/>
                <w:i w:val="0"/>
                <w:sz w:val="18"/>
              </w:rPr>
              <w:t>Seller re-check prompt:</w:t>
            </w:r>
            <w:r>
              <w:rPr>
                <w:b w:val="0"/>
                <w:i w:val="0"/>
                <w:sz w:val="18"/>
              </w:rPr>
              <w:t xml:space="preserve"> whenever Karandeep runs a new check on the deal's contract (any new brief version) </w:t>
            </w:r>
            <w:r>
              <w:rPr>
                <w:b/>
                <w:i w:val="0"/>
                <w:sz w:val="18"/>
              </w:rPr>
              <w:t>or</w:t>
            </w:r>
            <w:r>
              <w:rPr>
                <w:b w:val="0"/>
                <w:i w:val="0"/>
                <w:sz w:val="18"/>
              </w:rPr>
              <w:t xml:space="preserve"> the obligations register changes (new signing, waiver, expiry, verification edit), the seller's deal shows a banner: "Re-checked on [date]; your answer from [date] may be out of date. Re-run your check." Log when the banner was shown, seen, and when the seller re-ran.</w:t>
            </w:r>
          </w:p>
        </w:tc>
        <w:tc>
          <w:tcPr>
            <w:tcW w:type="dxa" w:w="900"/>
          </w:tcPr>
          <w:p>
            <w:pPr>
              <w:spacing w:after="20" w:before="20"/>
            </w:pPr>
            <w:r>
              <w:rPr>
                <w:b w:val="0"/>
                <w:i w:val="0"/>
                <w:sz w:val="18"/>
              </w:rPr>
              <w:t>Should</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FR-20</w:t>
            </w:r>
            <w:r>
              <w:rPr>
                <w:b w:val="0"/>
                <w:i w:val="0"/>
                <w:sz w:val="18"/>
              </w:rPr>
              <w:t xml:space="preserve"> (F3, F6)</w:t>
            </w:r>
          </w:p>
        </w:tc>
        <w:tc>
          <w:tcPr>
            <w:tcW w:type="dxa" w:w="5360"/>
          </w:tcPr>
          <w:p>
            <w:pPr>
              <w:spacing w:after="20" w:before="20"/>
            </w:pPr>
            <w:r>
              <w:rPr>
                <w:b/>
                <w:i w:val="0"/>
                <w:sz w:val="18"/>
              </w:rPr>
              <w:t>Deal-facts mismatch:</w:t>
            </w:r>
            <w:r>
              <w:rPr>
                <w:b w:val="0"/>
                <w:i w:val="0"/>
                <w:sz w:val="18"/>
              </w:rPr>
              <w:t xml:space="preserve"> in Karandeep's brief, compare the contract against the facts the seller declared in the deal check (sites/regions, rates, tools to reuse, who touches data) and flag differences.</w:t>
            </w:r>
          </w:p>
        </w:tc>
        <w:tc>
          <w:tcPr>
            <w:tcW w:type="dxa" w:w="900"/>
          </w:tcPr>
          <w:p>
            <w:pPr>
              <w:spacing w:after="20" w:before="20"/>
            </w:pPr>
            <w:r>
              <w:rPr>
                <w:b w:val="0"/>
                <w:i w:val="0"/>
                <w:sz w:val="18"/>
              </w:rPr>
              <w:t>Should</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FR-21</w:t>
            </w:r>
            <w:r>
              <w:rPr>
                <w:b w:val="0"/>
                <w:i w:val="0"/>
                <w:sz w:val="18"/>
              </w:rPr>
              <w:t xml:space="preserve"> (F5, F6)</w:t>
            </w:r>
          </w:p>
        </w:tc>
        <w:tc>
          <w:tcPr>
            <w:tcW w:type="dxa" w:w="5360"/>
          </w:tcPr>
          <w:p>
            <w:pPr>
              <w:spacing w:after="20" w:before="20"/>
            </w:pPr>
            <w:r>
              <w:rPr>
                <w:b/>
                <w:i w:val="0"/>
                <w:sz w:val="18"/>
              </w:rPr>
              <w:t>Compliance alert:</w:t>
            </w:r>
            <w:r>
              <w:rPr>
                <w:b w:val="0"/>
                <w:i w:val="0"/>
                <w:sz w:val="18"/>
              </w:rPr>
              <w:t xml:space="preserve"> a confirmed compliance event is pinned at the top of the brief, the analysis still completes, and the verdict can't be SIGN while it is open. Karandeep closes it with evidence, or with an attested note (shown and logged as his), or keeps it open. The system never notifies anyone outside. Notes can close compliance events but never contractual blockers, which need a document (a verbal waiver stays "pending written waiver").</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FR-22</w:t>
            </w:r>
            <w:r>
              <w:rPr>
                <w:b w:val="0"/>
                <w:i w:val="0"/>
                <w:sz w:val="18"/>
              </w:rPr>
              <w:t xml:space="preserve"> (F4)</w:t>
            </w:r>
          </w:p>
        </w:tc>
        <w:tc>
          <w:tcPr>
            <w:tcW w:type="dxa" w:w="5360"/>
          </w:tcPr>
          <w:p>
            <w:pPr>
              <w:spacing w:after="20" w:before="20"/>
            </w:pPr>
            <w:r>
              <w:rPr>
                <w:b/>
                <w:i w:val="0"/>
                <w:sz w:val="18"/>
              </w:rPr>
              <w:t>Similar past clauses:</w:t>
            </w:r>
            <w:r>
              <w:rPr>
                <w:b w:val="0"/>
                <w:i w:val="0"/>
                <w:sz w:val="18"/>
              </w:rPr>
              <w:t xml:space="preserve"> a clause index of every </w:t>
            </w:r>
            <w:r>
              <w:rPr>
                <w:b/>
                <w:i w:val="0"/>
                <w:sz w:val="18"/>
              </w:rPr>
              <w:t>signed</w:t>
            </w:r>
            <w:r>
              <w:rPr>
                <w:b w:val="0"/>
                <w:i w:val="0"/>
                <w:sz w:val="18"/>
              </w:rPr>
              <w:t xml:space="preserve"> contract (clause text, contract, date, entity, side of table, clause type, intent label), embedded once. For each key clause (LDs, liability, indemnity, payment, IP, confidentiality, restrictive covenants, governing law, data protection), show up to </w:t>
            </w:r>
            <w:r>
              <w:rPr>
                <w:b/>
                <w:i w:val="0"/>
                <w:sz w:val="18"/>
              </w:rPr>
              <w:t>3 similar signed clauses</w:t>
            </w:r>
            <w:r>
              <w:rPr>
                <w:b w:val="0"/>
                <w:i w:val="0"/>
                <w:sz w:val="18"/>
              </w:rPr>
              <w:t xml:space="preserve"> of the same type above a threshold, each with its label and a one-line "how it differs". Reference only: it </w:t>
            </w:r>
            <w:r>
              <w:rPr>
                <w:b/>
                <w:i w:val="0"/>
                <w:sz w:val="18"/>
              </w:rPr>
              <w:t>never sets severity or the verdict</w:t>
            </w:r>
            <w:r>
              <w:rPr>
                <w:b w:val="0"/>
                <w:i w:val="0"/>
                <w:sz w:val="18"/>
              </w:rPr>
              <w:t>; exceptions and accidents read "one-off: not a precedent"; Karandeep only. Nothing similar: "No similar clause signed before."</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FR-23</w:t>
            </w:r>
            <w:r>
              <w:rPr>
                <w:b w:val="0"/>
                <w:i w:val="0"/>
                <w:sz w:val="18"/>
              </w:rPr>
              <w:t xml:space="preserve"> (F4, F6)</w:t>
            </w:r>
          </w:p>
        </w:tc>
        <w:tc>
          <w:tcPr>
            <w:tcW w:type="dxa" w:w="5360"/>
          </w:tcPr>
          <w:p>
            <w:pPr>
              <w:spacing w:after="20" w:before="20"/>
            </w:pPr>
            <w:r>
              <w:rPr>
                <w:b/>
                <w:i w:val="0"/>
                <w:sz w:val="18"/>
              </w:rPr>
              <w:t>Deal-size rule:</w:t>
            </w:r>
            <w:r>
              <w:rPr>
                <w:b w:val="0"/>
                <w:i w:val="0"/>
                <w:sz w:val="18"/>
              </w:rPr>
              <w:t xml:space="preserve"> below a value threshold set by Karandeep (default $50k), a playbook deviation or a rule check on LDs, liability cap, payment, insurance or governing law counts one step lower (high → medium, medium → low). Blockers, conflicts with promises made to other clients, compliance events and missing paperwork never change, because breaking a promise costs the same at any deal size. Deals with no value on file are not adjusted. Applied by rule, not by the model.</w:t>
            </w:r>
          </w:p>
        </w:tc>
        <w:tc>
          <w:tcPr>
            <w:tcW w:type="dxa" w:w="900"/>
          </w:tcPr>
          <w:p>
            <w:pPr>
              <w:spacing w:after="20" w:before="20"/>
            </w:pPr>
            <w:r>
              <w:rPr>
                <w:b w:val="0"/>
                <w:i w:val="0"/>
                <w:sz w:val="18"/>
              </w:rPr>
              <w:t>Should</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FR-24</w:t>
            </w:r>
            <w:r>
              <w:rPr>
                <w:b w:val="0"/>
                <w:i w:val="0"/>
                <w:sz w:val="18"/>
              </w:rPr>
              <w:t xml:space="preserve"> (F1)</w:t>
            </w:r>
          </w:p>
        </w:tc>
        <w:tc>
          <w:tcPr>
            <w:tcW w:type="dxa" w:w="5360"/>
          </w:tcPr>
          <w:p>
            <w:pPr>
              <w:spacing w:after="20" w:before="20"/>
            </w:pPr>
            <w:r>
              <w:rPr>
                <w:b/>
                <w:i w:val="0"/>
                <w:sz w:val="18"/>
              </w:rPr>
              <w:t>Store in contract register:</w:t>
            </w:r>
            <w:r>
              <w:rPr>
                <w:b w:val="0"/>
                <w:i w:val="0"/>
                <w:sz w:val="18"/>
              </w:rPr>
              <w:t xml:space="preserve"> when the decision is Sign or Sign after changes, one action extracts the signed contract's commitments into the register (unverified until Karandeep verifies them) and removes the deal from the queue; open deals those commitments can affect are flagged for re-check. If extraction fails, nothing changes and the action can be retried.</w:t>
            </w:r>
          </w:p>
        </w:tc>
        <w:tc>
          <w:tcPr>
            <w:tcW w:type="dxa" w:w="900"/>
          </w:tcPr>
          <w:p>
            <w:pPr>
              <w:spacing w:after="20" w:before="20"/>
            </w:pPr>
            <w:r>
              <w:rPr>
                <w:b w:val="0"/>
                <w:i w:val="0"/>
                <w:sz w:val="18"/>
              </w:rPr>
              <w:t>Must</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FR-25</w:t>
            </w:r>
            <w:r>
              <w:rPr>
                <w:b w:val="0"/>
                <w:i w:val="0"/>
                <w:sz w:val="18"/>
              </w:rPr>
              <w:t xml:space="preserve"> (F3, F6)</w:t>
            </w:r>
          </w:p>
        </w:tc>
        <w:tc>
          <w:tcPr>
            <w:tcW w:type="dxa" w:w="5360"/>
          </w:tcPr>
          <w:p>
            <w:pPr>
              <w:spacing w:after="20" w:before="20"/>
            </w:pPr>
            <w:r>
              <w:rPr>
                <w:b/>
                <w:i w:val="0"/>
                <w:sz w:val="18"/>
              </w:rPr>
              <w:t>Expired restrictions shown as context:</w:t>
            </w:r>
            <w:r>
              <w:rPr>
                <w:b w:val="0"/>
                <w:i w:val="0"/>
                <w:sz w:val="18"/>
              </w:rPr>
              <w:t xml:space="preserve"> when an expired register entry would otherwise match the deal (same client, sector, asset or pricing scope; a region overlap is shown but is not enough on its own), the brief lists it under a "Checked, expired" line with the commitment, its source clause and its end date. It is never a finding, never changes severity or the verdict, and is visible to Karandeep only. The end date includes any period the commitment survives after the contract ends.</w:t>
            </w:r>
          </w:p>
        </w:tc>
        <w:tc>
          <w:tcPr>
            <w:tcW w:type="dxa" w:w="900"/>
          </w:tcPr>
          <w:p>
            <w:pPr>
              <w:spacing w:after="20" w:before="20"/>
            </w:pPr>
            <w:r>
              <w:rPr>
                <w:b w:val="0"/>
                <w:i w:val="0"/>
                <w:sz w:val="18"/>
              </w:rPr>
              <w:t>Should</w:t>
            </w:r>
          </w:p>
        </w:tc>
        <w:tc>
          <w:tcPr>
            <w:tcW w:type="dxa" w:w="2000"/>
          </w:tcPr>
          <w:p>
            <w:pPr>
              <w:spacing w:after="20" w:before="20"/>
            </w:pPr>
            <w:r>
              <w:rPr>
                <w:b w:val="0"/>
                <w:i w:val="0"/>
                <w:sz w:val="18"/>
              </w:rPr>
              <w:t>Built</w:t>
            </w:r>
          </w:p>
        </w:tc>
      </w:tr>
      <w:tr>
        <w:tc>
          <w:tcPr>
            <w:tcW w:type="dxa" w:w="1100"/>
          </w:tcPr>
          <w:p>
            <w:pPr>
              <w:spacing w:after="20" w:before="20"/>
            </w:pPr>
            <w:r>
              <w:rPr>
                <w:b/>
                <w:i w:val="0"/>
                <w:sz w:val="18"/>
              </w:rPr>
              <w:t>FR-26</w:t>
            </w:r>
            <w:r>
              <w:rPr>
                <w:b w:val="0"/>
                <w:i w:val="0"/>
                <w:sz w:val="18"/>
              </w:rPr>
              <w:t xml:space="preserve"> (all AI steps)</w:t>
            </w:r>
          </w:p>
        </w:tc>
        <w:tc>
          <w:tcPr>
            <w:tcW w:type="dxa" w:w="5360"/>
          </w:tcPr>
          <w:p>
            <w:pPr>
              <w:spacing w:after="20" w:before="20"/>
            </w:pPr>
            <w:r>
              <w:rPr>
                <w:b/>
                <w:i w:val="0"/>
                <w:sz w:val="18"/>
              </w:rPr>
              <w:t>Mask client data before any AI call:</w:t>
            </w:r>
            <w:r>
              <w:rPr>
                <w:b w:val="0"/>
                <w:i w:val="0"/>
                <w:sz w:val="18"/>
              </w:rPr>
              <w:t xml:space="preserve"> on AtliQ's side, replace party and affiliate names, people, emails, phones, addresses, bank and tax numbers and money amounts with labels ([CLIENT_1], [PERSON_2], [AMOUNT_3]), found from known lists (register and AtliQ entities, people in deals), pattern rules and a local name-detection tool. The label key never leaves AtliQ; answers are unmasked before use, so quotes are checked against the original. Regions, sectors, percentages, durations and clause headings stay visible; rules and the conflict filter use the real values. Scans are read by local OCR so they can be masked; the clause index stores masked text.</w:t>
            </w:r>
          </w:p>
        </w:tc>
        <w:tc>
          <w:tcPr>
            <w:tcW w:type="dxa" w:w="900"/>
          </w:tcPr>
          <w:p>
            <w:pPr>
              <w:spacing w:after="20" w:before="20"/>
            </w:pPr>
            <w:r>
              <w:rPr>
                <w:b w:val="0"/>
                <w:i w:val="0"/>
                <w:sz w:val="18"/>
              </w:rPr>
              <w:t>Must</w:t>
            </w:r>
          </w:p>
        </w:tc>
        <w:tc>
          <w:tcPr>
            <w:tcW w:type="dxa" w:w="2000"/>
          </w:tcPr>
          <w:p>
            <w:pPr>
              <w:spacing w:after="20" w:before="20"/>
            </w:pPr>
            <w:r>
              <w:rPr>
                <w:b w:val="0"/>
                <w:i w:val="0"/>
                <w:sz w:val="18"/>
              </w:rPr>
              <w:t>Built, lite: known lists + pattern rules, switched on by a setting (</w:t>
            </w:r>
            <w:r>
              <w:rPr>
                <w:rFonts w:ascii="Consolas" w:hAnsi="Consolas"/>
                <w:b w:val="0"/>
                <w:i w:val="0"/>
                <w:sz w:val="18"/>
              </w:rPr>
              <w:t>Masking_Lite_Spec.md</w:t>
            </w:r>
            <w:r>
              <w:rPr>
                <w:b w:val="0"/>
                <w:i w:val="0"/>
                <w:sz w:val="18"/>
              </w:rPr>
              <w:t>); local name detection, local OCR and a masked clause index not built</w:t>
            </w:r>
          </w:p>
        </w:tc>
      </w:tr>
    </w:tbl>
    <w:p>
      <w:pPr>
        <w:spacing w:after="40"/>
      </w:pPr>
    </w:p>
    <w:p>
      <w:pPr>
        <w:pStyle w:val="Heading1"/>
      </w:pPr>
      <w:r>
        <w:rPr>
          <w:b w:val="0"/>
          <w:i w:val="0"/>
        </w:rPr>
        <w:t>7. Context and Data Pipeline</w:t>
      </w:r>
    </w:p>
    <w:p>
      <w:pPr>
        <w:pStyle w:val="Heading2"/>
      </w:pPr>
      <w:r>
        <w:rPr>
          <w:b w:val="0"/>
          <w:i w:val="0"/>
        </w:rPr>
        <w:t>7.1 What Goes In</w:t>
      </w:r>
    </w:p>
    <w:p>
      <w:r>
        <w:rPr>
          <w:b/>
          <w:i w:val="0"/>
        </w:rPr>
        <w:t>Principle: nothing is sourced live in the MVP.</w:t>
      </w:r>
      <w:r>
        <w:rPr>
          <w:b w:val="0"/>
          <w:i w:val="0"/>
        </w:rPr>
        <w:t xml:space="preserve"> Information enters through uploads, one-time imports and the deal record; the system states what it hasn't been given ("what wasn't seen"). Putting deal material in one place is itself part of the fix for documents "scattered across drives, inboxes and laptops".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50"/>
        <w:gridCol w:w="5053"/>
        <w:gridCol w:w="3055"/>
      </w:tblGrid>
      <w:tr>
        <w:trPr>
          <w:tblHeader/>
        </w:trPr>
        <w:tc>
          <w:tcPr>
            <w:tcW w:type="dxa" w:w="1250"/>
            <w:shd w:val="clear" w:color="auto" w:fill="DCE6F2"/>
          </w:tcPr>
          <w:p>
            <w:pPr>
              <w:spacing w:after="20" w:before="20"/>
            </w:pPr>
            <w:r>
              <w:rPr>
                <w:b/>
                <w:i w:val="0"/>
                <w:sz w:val="18"/>
              </w:rPr>
              <w:t>Input</w:t>
            </w:r>
          </w:p>
        </w:tc>
        <w:tc>
          <w:tcPr>
            <w:tcW w:type="dxa" w:w="5053"/>
            <w:shd w:val="clear" w:color="auto" w:fill="DCE6F2"/>
          </w:tcPr>
          <w:p>
            <w:pPr>
              <w:spacing w:after="20" w:before="20"/>
            </w:pPr>
            <w:r>
              <w:rPr>
                <w:b/>
                <w:i w:val="0"/>
                <w:sz w:val="18"/>
              </w:rPr>
              <w:t>Source and how it arrives (MVP)</w:t>
            </w:r>
          </w:p>
        </w:tc>
        <w:tc>
          <w:tcPr>
            <w:tcW w:type="dxa" w:w="3055"/>
            <w:shd w:val="clear" w:color="auto" w:fill="DCE6F2"/>
          </w:tcPr>
          <w:p>
            <w:pPr>
              <w:spacing w:after="20" w:before="20"/>
            </w:pPr>
            <w:r>
              <w:rPr>
                <w:b/>
                <w:i w:val="0"/>
                <w:sz w:val="18"/>
              </w:rPr>
              <w:t>Notes</w:t>
            </w:r>
          </w:p>
        </w:tc>
      </w:tr>
      <w:tr>
        <w:tc>
          <w:tcPr>
            <w:tcW w:type="dxa" w:w="1250"/>
          </w:tcPr>
          <w:p>
            <w:pPr>
              <w:spacing w:after="20" w:before="20"/>
            </w:pPr>
            <w:r>
              <w:rPr>
                <w:b/>
                <w:i w:val="0"/>
                <w:sz w:val="18"/>
              </w:rPr>
              <w:t>Signed contracts</w:t>
            </w:r>
          </w:p>
        </w:tc>
        <w:tc>
          <w:tcPr>
            <w:tcW w:type="dxa" w:w="5053"/>
          </w:tcPr>
          <w:p>
            <w:pPr>
              <w:spacing w:after="20" w:before="20"/>
            </w:pPr>
            <w:r>
              <w:rPr>
                <w:b w:val="0"/>
                <w:i w:val="0"/>
                <w:sz w:val="18"/>
              </w:rPr>
              <w:t>One-time bulk upload to build the register (backfill); thereafter every contract signed through Yours Legally, is stored automatically</w:t>
            </w:r>
          </w:p>
        </w:tc>
        <w:tc>
          <w:tcPr>
            <w:tcW w:type="dxa" w:w="3055"/>
          </w:tcPr>
          <w:p>
            <w:pPr>
              <w:spacing w:after="20" w:before="20"/>
            </w:pPr>
            <w:r>
              <w:rPr>
                <w:b w:val="0"/>
                <w:i w:val="0"/>
                <w:sz w:val="18"/>
              </w:rPr>
              <w:t>Missing or illegible text recorded as such; referenced-but-absent documents listed (e.g. a waiver mentioned but not uploaded)</w:t>
            </w:r>
          </w:p>
        </w:tc>
      </w:tr>
      <w:tr>
        <w:tc>
          <w:tcPr>
            <w:tcW w:type="dxa" w:w="1250"/>
          </w:tcPr>
          <w:p>
            <w:pPr>
              <w:spacing w:after="20" w:before="20"/>
            </w:pPr>
            <w:r>
              <w:rPr>
                <w:b/>
                <w:i w:val="0"/>
                <w:sz w:val="18"/>
              </w:rPr>
              <w:t>Incoming / outgoing drafts</w:t>
            </w:r>
          </w:p>
        </w:tc>
        <w:tc>
          <w:tcPr>
            <w:tcW w:type="dxa" w:w="5053"/>
          </w:tcPr>
          <w:p>
            <w:pPr>
              <w:spacing w:after="20" w:before="20"/>
            </w:pPr>
            <w:r>
              <w:rPr>
                <w:b w:val="0"/>
                <w:i w:val="0"/>
                <w:sz w:val="18"/>
              </w:rPr>
              <w:t>Uploaded by a seller or Karandeep into a deal (or as a new deal) as PDF, Word or text, scans read by OCR; linked by FR-3 with one-tap confirmation</w:t>
            </w:r>
          </w:p>
        </w:tc>
        <w:tc>
          <w:tcPr>
            <w:tcW w:type="dxa" w:w="3055"/>
          </w:tcPr>
          <w:p>
            <w:pPr>
              <w:spacing w:after="20" w:before="20"/>
            </w:pPr>
            <w:r>
              <w:rPr>
                <w:b w:val="0"/>
                <w:i w:val="0"/>
                <w:sz w:val="18"/>
              </w:rPr>
              <w:t>Client paper and AtliQ's own paper; revised drafts create new brief versions</w:t>
            </w:r>
          </w:p>
        </w:tc>
      </w:tr>
      <w:tr>
        <w:tc>
          <w:tcPr>
            <w:tcW w:type="dxa" w:w="1250"/>
          </w:tcPr>
          <w:p>
            <w:pPr>
              <w:spacing w:after="20" w:before="20"/>
            </w:pPr>
            <w:r>
              <w:rPr>
                <w:b/>
                <w:i w:val="0"/>
                <w:sz w:val="18"/>
              </w:rPr>
              <w:t>Tracker</w:t>
            </w:r>
          </w:p>
        </w:tc>
        <w:tc>
          <w:tcPr>
            <w:tcW w:type="dxa" w:w="5053"/>
          </w:tcPr>
          <w:p>
            <w:pPr>
              <w:spacing w:after="20" w:before="20"/>
            </w:pPr>
            <w:r>
              <w:rPr>
                <w:b w:val="0"/>
                <w:i w:val="0"/>
                <w:sz w:val="18"/>
              </w:rPr>
              <w:t>One-time CSV import to seed open deals (deadline, value, requester, notes)</w:t>
            </w:r>
          </w:p>
        </w:tc>
        <w:tc>
          <w:tcPr>
            <w:tcW w:type="dxa" w:w="3055"/>
          </w:tcPr>
          <w:p>
            <w:pPr>
              <w:spacing w:after="20" w:before="20"/>
            </w:pPr>
            <w:r>
              <w:rPr>
                <w:b w:val="0"/>
                <w:i w:val="0"/>
                <w:sz w:val="18"/>
              </w:rPr>
              <w:t xml:space="preserve">After import, </w:t>
            </w:r>
            <w:r>
              <w:rPr>
                <w:b/>
                <w:i w:val="0"/>
                <w:sz w:val="18"/>
              </w:rPr>
              <w:t>the deal record replaces the tracker</w:t>
            </w:r>
            <w:r>
              <w:rPr>
                <w:b w:val="0"/>
                <w:i w:val="0"/>
                <w:sz w:val="18"/>
              </w:rPr>
              <w:t>: deadlines, status and owners live in F8, current because people work in it, not because it's synced</w:t>
            </w:r>
          </w:p>
        </w:tc>
      </w:tr>
      <w:tr>
        <w:tc>
          <w:tcPr>
            <w:tcW w:type="dxa" w:w="1250"/>
          </w:tcPr>
          <w:p>
            <w:pPr>
              <w:spacing w:after="20" w:before="20"/>
            </w:pPr>
            <w:r>
              <w:rPr>
                <w:b/>
                <w:i w:val="0"/>
                <w:sz w:val="18"/>
              </w:rPr>
              <w:t>Meeting notes</w:t>
            </w:r>
          </w:p>
        </w:tc>
        <w:tc>
          <w:tcPr>
            <w:tcW w:type="dxa" w:w="5053"/>
          </w:tcPr>
          <w:p>
            <w:pPr>
              <w:spacing w:after="20" w:before="20"/>
            </w:pPr>
            <w:r>
              <w:rPr>
                <w:b w:val="0"/>
                <w:i w:val="0"/>
                <w:sz w:val="18"/>
              </w:rPr>
              <w:t>Attached or pasted onto the deal by whoever was in the meeting</w:t>
            </w:r>
          </w:p>
        </w:tc>
        <w:tc>
          <w:tcPr>
            <w:tcW w:type="dxa" w:w="3055"/>
          </w:tcPr>
          <w:p>
            <w:pPr>
              <w:spacing w:after="20" w:before="20"/>
            </w:pPr>
            <w:r>
              <w:rPr>
                <w:b w:val="0"/>
                <w:i w:val="0"/>
                <w:sz w:val="18"/>
              </w:rPr>
              <w:t>The seller check asks "anything agreed or shared in meetings?"; briefs state "no meeting notes attached" when none exist</w:t>
            </w:r>
          </w:p>
        </w:tc>
      </w:tr>
      <w:tr>
        <w:tc>
          <w:tcPr>
            <w:tcW w:type="dxa" w:w="1250"/>
          </w:tcPr>
          <w:p>
            <w:pPr>
              <w:spacing w:after="20" w:before="20"/>
            </w:pPr>
            <w:r>
              <w:rPr>
                <w:b/>
                <w:i w:val="0"/>
                <w:sz w:val="18"/>
              </w:rPr>
              <w:t>Deal facts</w:t>
            </w:r>
          </w:p>
        </w:tc>
        <w:tc>
          <w:tcPr>
            <w:tcW w:type="dxa" w:w="5053"/>
          </w:tcPr>
          <w:p>
            <w:pPr>
              <w:spacing w:after="20" w:before="20"/>
            </w:pPr>
            <w:r>
              <w:rPr>
                <w:b w:val="0"/>
                <w:i w:val="0"/>
                <w:sz w:val="18"/>
              </w:rPr>
              <w:t>Seller check form (F7)</w:t>
            </w:r>
          </w:p>
        </w:tc>
        <w:tc>
          <w:tcPr>
            <w:tcW w:type="dxa" w:w="3055"/>
          </w:tcPr>
          <w:p>
            <w:pPr>
              <w:spacing w:after="20" w:before="20"/>
            </w:pPr>
            <w:r>
              <w:rPr>
                <w:b w:val="0"/>
                <w:i w:val="0"/>
                <w:sz w:val="18"/>
              </w:rPr>
              <w:t>Updated when the plan changes</w:t>
            </w:r>
          </w:p>
        </w:tc>
      </w:tr>
      <w:tr>
        <w:tc>
          <w:tcPr>
            <w:tcW w:type="dxa" w:w="1250"/>
          </w:tcPr>
          <w:p>
            <w:pPr>
              <w:spacing w:after="20" w:before="20"/>
            </w:pPr>
            <w:r>
              <w:rPr>
                <w:b/>
                <w:i w:val="0"/>
                <w:sz w:val="18"/>
              </w:rPr>
              <w:t>Obligations register</w:t>
            </w:r>
          </w:p>
        </w:tc>
        <w:tc>
          <w:tcPr>
            <w:tcW w:type="dxa" w:w="5053"/>
          </w:tcPr>
          <w:p>
            <w:pPr>
              <w:spacing w:after="20" w:before="20"/>
            </w:pPr>
            <w:r>
              <w:rPr>
                <w:b w:val="0"/>
                <w:i w:val="0"/>
                <w:sz w:val="18"/>
              </w:rPr>
              <w:t>Built from signed contracts (F1); verified by Karandeep; versioned</w:t>
            </w:r>
          </w:p>
        </w:tc>
        <w:tc>
          <w:tcPr>
            <w:tcW w:type="dxa" w:w="3055"/>
          </w:tcPr>
          <w:p>
            <w:pPr>
              <w:spacing w:after="20" w:before="20"/>
            </w:pPr>
          </w:p>
        </w:tc>
      </w:tr>
      <w:tr>
        <w:tc>
          <w:tcPr>
            <w:tcW w:type="dxa" w:w="1250"/>
          </w:tcPr>
          <w:p>
            <w:pPr>
              <w:spacing w:after="20" w:before="20"/>
            </w:pPr>
            <w:r>
              <w:rPr>
                <w:b/>
                <w:i w:val="0"/>
                <w:sz w:val="18"/>
              </w:rPr>
              <w:t>Clause index</w:t>
            </w:r>
          </w:p>
        </w:tc>
        <w:tc>
          <w:tcPr>
            <w:tcW w:type="dxa" w:w="5053"/>
          </w:tcPr>
          <w:p>
            <w:pPr>
              <w:spacing w:after="20" w:before="20"/>
            </w:pPr>
            <w:r>
              <w:rPr>
                <w:b w:val="0"/>
                <w:i w:val="0"/>
                <w:sz w:val="18"/>
              </w:rPr>
              <w:t>Built from signed contracts at the same time as the register: every clause chunked, labelled with its intent tag, embedded once; a newly signed contract is added automatically</w:t>
            </w:r>
          </w:p>
        </w:tc>
        <w:tc>
          <w:tcPr>
            <w:tcW w:type="dxa" w:w="3055"/>
          </w:tcPr>
          <w:p>
            <w:pPr>
              <w:spacing w:after="20" w:before="20"/>
            </w:pPr>
            <w:r>
              <w:rPr>
                <w:b w:val="0"/>
                <w:i w:val="0"/>
                <w:sz w:val="18"/>
              </w:rPr>
              <w:t>Signed contracts only; used for similar past clauses (FR-22)</w:t>
            </w:r>
          </w:p>
        </w:tc>
      </w:tr>
      <w:tr>
        <w:tc>
          <w:tcPr>
            <w:tcW w:type="dxa" w:w="1250"/>
          </w:tcPr>
          <w:p>
            <w:pPr>
              <w:spacing w:after="20" w:before="20"/>
            </w:pPr>
            <w:r>
              <w:rPr>
                <w:b/>
                <w:i w:val="0"/>
                <w:sz w:val="18"/>
              </w:rPr>
              <w:t>Negotiation playbook</w:t>
            </w:r>
          </w:p>
        </w:tc>
        <w:tc>
          <w:tcPr>
            <w:tcW w:type="dxa" w:w="5053"/>
          </w:tcPr>
          <w:p>
            <w:pPr>
              <w:spacing w:after="20" w:before="20"/>
            </w:pPr>
            <w:r>
              <w:rPr>
                <w:b w:val="0"/>
                <w:i w:val="0"/>
                <w:sz w:val="18"/>
              </w:rPr>
              <w:t>2024 checklist + negotiation notes + Karandeep's tagging (standard/exception/concession/accident); fairness gate applied; versioned; Karandeep-approved</w:t>
            </w:r>
          </w:p>
        </w:tc>
        <w:tc>
          <w:tcPr>
            <w:tcW w:type="dxa" w:w="3055"/>
          </w:tcPr>
          <w:p>
            <w:pPr>
              <w:spacing w:after="20" w:before="20"/>
            </w:pPr>
          </w:p>
        </w:tc>
      </w:tr>
      <w:tr>
        <w:tc>
          <w:tcPr>
            <w:tcW w:type="dxa" w:w="1250"/>
          </w:tcPr>
          <w:p>
            <w:pPr>
              <w:spacing w:after="20" w:before="20"/>
            </w:pPr>
            <w:r>
              <w:rPr>
                <w:b/>
                <w:i w:val="0"/>
                <w:sz w:val="18"/>
              </w:rPr>
              <w:t>Company facts</w:t>
            </w:r>
          </w:p>
        </w:tc>
        <w:tc>
          <w:tcPr>
            <w:tcW w:type="dxa" w:w="5053"/>
          </w:tcPr>
          <w:p>
            <w:pPr>
              <w:spacing w:after="20" w:before="20"/>
            </w:pPr>
            <w:r>
              <w:rPr>
                <w:b w:val="0"/>
                <w:i w:val="0"/>
                <w:sz w:val="18"/>
              </w:rPr>
              <w:t>Admin settings owned by finance: AtliQ entities and regions served, insurance held, delivery model (Pune delivery, intercompany arrangements)</w:t>
            </w:r>
          </w:p>
        </w:tc>
        <w:tc>
          <w:tcPr>
            <w:tcW w:type="dxa" w:w="3055"/>
          </w:tcPr>
          <w:p>
            <w:pPr>
              <w:spacing w:after="20" w:before="20"/>
            </w:pPr>
            <w:r>
              <w:rPr>
                <w:b w:val="0"/>
                <w:i w:val="0"/>
                <w:sz w:val="18"/>
              </w:rPr>
              <w:t>Drive gate rules (entity, insurance)</w:t>
            </w:r>
          </w:p>
        </w:tc>
      </w:tr>
    </w:tbl>
    <w:p>
      <w:pPr>
        <w:spacing w:after="40"/>
      </w:pPr>
    </w:p>
    <w:p>
      <w:r>
        <w:rPr>
          <w:b/>
          <w:i w:val="0"/>
        </w:rPr>
        <w:t>Why no live inbox/drive integrations in the MVP:</w:t>
      </w:r>
      <w:r>
        <w:rPr>
          <w:b w:val="0"/>
          <w:i w:val="0"/>
        </w:rPr>
        <w:t xml:space="preserve"> (1) confidentiality: reading every inbox ingests client data the system doesn't need, a large privacy and security surface for a small company; (2) integration cost sits outside where the value is; (3) central upload is the behaviour change the register depends on. Email forwarding, watched folders and calendar/meeting integrations are deferred (§13.2).</w:t>
      </w:r>
    </w:p>
    <w:p>
      <w:pPr>
        <w:pStyle w:val="Heading2"/>
      </w:pPr>
      <w:r>
        <w:rPr>
          <w:b w:val="0"/>
          <w:i w:val="0"/>
        </w:rPr>
        <w:t>7.2 Deliberately Excluded From Context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Excluded attribute</w:t>
            </w:r>
          </w:p>
        </w:tc>
        <w:tc>
          <w:tcPr>
            <w:tcW w:type="dxa" w:w="6703"/>
            <w:shd w:val="clear" w:color="auto" w:fill="DCE6F2"/>
          </w:tcPr>
          <w:p>
            <w:pPr>
              <w:spacing w:after="20" w:before="20"/>
            </w:pPr>
            <w:r>
              <w:rPr>
                <w:b/>
                <w:i w:val="0"/>
                <w:sz w:val="18"/>
              </w:rPr>
              <w:t>Reason for exclusion</w:t>
            </w:r>
          </w:p>
        </w:tc>
      </w:tr>
      <w:tr>
        <w:tc>
          <w:tcPr>
            <w:tcW w:type="dxa" w:w="2656"/>
          </w:tcPr>
          <w:p>
            <w:pPr>
              <w:spacing w:after="20" w:before="20"/>
            </w:pPr>
            <w:r>
              <w:rPr>
                <w:b/>
                <w:i w:val="0"/>
                <w:sz w:val="18"/>
              </w:rPr>
              <w:t>Seller urgency, deadlines and "biggest deal of the year" framing</w:t>
            </w:r>
            <w:r>
              <w:rPr>
                <w:b w:val="0"/>
                <w:i w:val="0"/>
                <w:sz w:val="18"/>
              </w:rPr>
              <w:t xml:space="preserve"> in the risk judgment</w:t>
            </w:r>
          </w:p>
        </w:tc>
        <w:tc>
          <w:tcPr>
            <w:tcW w:type="dxa" w:w="6703"/>
          </w:tcPr>
          <w:p>
            <w:pPr>
              <w:spacing w:after="20" w:before="20"/>
            </w:pPr>
            <w:r>
              <w:rPr>
                <w:b w:val="0"/>
                <w:i w:val="0"/>
                <w:sz w:val="18"/>
              </w:rPr>
              <w:t xml:space="preserve">Pressure is what led to Brightwater and Meridian. Urgency and deadline drive </w:t>
            </w:r>
            <w:r>
              <w:rPr>
                <w:b/>
                <w:i w:val="0"/>
                <w:sz w:val="18"/>
              </w:rPr>
              <w:t>queue order</w:t>
            </w:r>
            <w:r>
              <w:rPr>
                <w:b w:val="0"/>
                <w:i w:val="0"/>
                <w:sz w:val="18"/>
              </w:rPr>
              <w:t xml:space="preserve"> only, never whether a risk is flagged or how severe it is. The one use of deal value is FR-23: a fixed rule, set by Karandeep, that lowers negotiable deviations on small deals; it never touches conflicts, compliance or paperwork, and the model never sees it.</w:t>
            </w:r>
          </w:p>
        </w:tc>
      </w:tr>
      <w:tr>
        <w:tc>
          <w:tcPr>
            <w:tcW w:type="dxa" w:w="2656"/>
          </w:tcPr>
          <w:p>
            <w:pPr>
              <w:spacing w:after="20" w:before="20"/>
            </w:pPr>
            <w:r>
              <w:rPr>
                <w:b/>
                <w:i w:val="0"/>
                <w:sz w:val="18"/>
              </w:rPr>
              <w:t>Patient data (PHI) and personal data samples</w:t>
            </w:r>
          </w:p>
        </w:tc>
        <w:tc>
          <w:tcPr>
            <w:tcW w:type="dxa" w:w="6703"/>
          </w:tcPr>
          <w:p>
            <w:pPr>
              <w:spacing w:after="20" w:before="20"/>
            </w:pPr>
            <w:r>
              <w:rPr>
                <w:b w:val="0"/>
                <w:i w:val="0"/>
                <w:sz w:val="18"/>
              </w:rPr>
              <w:t xml:space="preserve">The system reviews agreements, not datasets. It must not ingest PHI/personal data (e.g. the Harrington extract); it only records </w:t>
            </w:r>
            <w:r>
              <w:rPr>
                <w:b w:val="0"/>
                <w:i/>
                <w:sz w:val="18"/>
              </w:rPr>
              <w:t>that</w:t>
            </w:r>
            <w:r>
              <w:rPr>
                <w:b w:val="0"/>
                <w:i w:val="0"/>
                <w:sz w:val="18"/>
              </w:rPr>
              <w:t xml:space="preserve"> data moved.</w:t>
            </w:r>
          </w:p>
        </w:tc>
      </w:tr>
      <w:tr>
        <w:tc>
          <w:tcPr>
            <w:tcW w:type="dxa" w:w="2656"/>
          </w:tcPr>
          <w:p>
            <w:pPr>
              <w:spacing w:after="20" w:before="20"/>
            </w:pPr>
            <w:r>
              <w:rPr>
                <w:b/>
                <w:i w:val="0"/>
                <w:sz w:val="18"/>
              </w:rPr>
              <w:t>Other clients' confidential commercial terms in seller views</w:t>
            </w:r>
          </w:p>
        </w:tc>
        <w:tc>
          <w:tcPr>
            <w:tcW w:type="dxa" w:w="6703"/>
          </w:tcPr>
          <w:p>
            <w:pPr>
              <w:spacing w:after="20" w:before="20"/>
            </w:pPr>
            <w:r>
              <w:rPr>
                <w:b w:val="0"/>
                <w:i w:val="0"/>
                <w:sz w:val="18"/>
              </w:rPr>
              <w:t>Sellers see what a restriction means for their deal (e.g. "rate floor applies"), not another client's rates, names or terms beyond need.</w:t>
            </w:r>
          </w:p>
        </w:tc>
      </w:tr>
      <w:tr>
        <w:tc>
          <w:tcPr>
            <w:tcW w:type="dxa" w:w="2656"/>
          </w:tcPr>
          <w:p>
            <w:pPr>
              <w:spacing w:after="20" w:before="20"/>
            </w:pPr>
            <w:r>
              <w:rPr>
                <w:b/>
                <w:i w:val="0"/>
                <w:sz w:val="18"/>
              </w:rPr>
              <w:t>Personal attributes of counterparties' people</w:t>
            </w:r>
            <w:r>
              <w:rPr>
                <w:b w:val="0"/>
                <w:i w:val="0"/>
                <w:sz w:val="18"/>
              </w:rPr>
              <w:t xml:space="preserve"> (nationality, gender etc.)</w:t>
            </w:r>
          </w:p>
        </w:tc>
        <w:tc>
          <w:tcPr>
            <w:tcW w:type="dxa" w:w="6703"/>
          </w:tcPr>
          <w:p>
            <w:pPr>
              <w:spacing w:after="20" w:before="20"/>
            </w:pPr>
            <w:r>
              <w:rPr>
                <w:b w:val="0"/>
                <w:i w:val="0"/>
                <w:sz w:val="18"/>
              </w:rPr>
              <w:t>Irrelevant to contract risk; prevents biased treatment of freelancers or small agencies.</w:t>
            </w:r>
          </w:p>
        </w:tc>
      </w:tr>
      <w:tr>
        <w:tc>
          <w:tcPr>
            <w:tcW w:type="dxa" w:w="2656"/>
          </w:tcPr>
          <w:p>
            <w:pPr>
              <w:spacing w:after="20" w:before="20"/>
            </w:pPr>
            <w:r>
              <w:rPr>
                <w:b/>
                <w:i w:val="0"/>
                <w:sz w:val="18"/>
              </w:rPr>
              <w:t>Unapproved playbook positions as "standard"</w:t>
            </w:r>
          </w:p>
        </w:tc>
        <w:tc>
          <w:tcPr>
            <w:tcW w:type="dxa" w:w="6703"/>
          </w:tcPr>
          <w:p>
            <w:pPr>
              <w:spacing w:after="20" w:before="20"/>
            </w:pPr>
            <w:r>
              <w:rPr>
                <w:b w:val="0"/>
                <w:i w:val="0"/>
                <w:sz w:val="18"/>
              </w:rPr>
              <w:t xml:space="preserve">Prevents turning accidents into policy. (Unverified register entries </w:t>
            </w:r>
            <w:r>
              <w:rPr>
                <w:b w:val="0"/>
                <w:i/>
                <w:sz w:val="18"/>
              </w:rPr>
              <w:t>are</w:t>
            </w:r>
            <w:r>
              <w:rPr>
                <w:b w:val="0"/>
                <w:i w:val="0"/>
                <w:sz w:val="18"/>
              </w:rPr>
              <w:t xml:space="preserve"> used, so nothing is missed, but every finding based on one is labelled until Karandeep verifies it; §5.)</w:t>
            </w:r>
          </w:p>
        </w:tc>
      </w:tr>
    </w:tbl>
    <w:p>
      <w:pPr>
        <w:spacing w:after="40"/>
      </w:pPr>
    </w:p>
    <w:p>
      <w:pPr>
        <w:pStyle w:val="Heading1"/>
      </w:pPr>
      <w:r>
        <w:rPr>
          <w:b w:val="0"/>
          <w:i w:val="0"/>
        </w:rPr>
        <w:t>8. Non-Functional Requirements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Category</w:t>
            </w:r>
          </w:p>
        </w:tc>
        <w:tc>
          <w:tcPr>
            <w:tcW w:type="dxa" w:w="6703"/>
            <w:shd w:val="clear" w:color="auto" w:fill="DCE6F2"/>
          </w:tcPr>
          <w:p>
            <w:pPr>
              <w:spacing w:after="20" w:before="20"/>
            </w:pPr>
            <w:r>
              <w:rPr>
                <w:b/>
                <w:i w:val="0"/>
                <w:sz w:val="18"/>
              </w:rPr>
              <w:t>Requirement and target</w:t>
            </w:r>
          </w:p>
        </w:tc>
      </w:tr>
      <w:tr>
        <w:tc>
          <w:tcPr>
            <w:tcW w:type="dxa" w:w="2656"/>
          </w:tcPr>
          <w:p>
            <w:pPr>
              <w:spacing w:after="20" w:before="20"/>
            </w:pPr>
            <w:r>
              <w:rPr>
                <w:b/>
                <w:i w:val="0"/>
                <w:sz w:val="18"/>
              </w:rPr>
              <w:t>Performance</w:t>
            </w:r>
          </w:p>
        </w:tc>
        <w:tc>
          <w:tcPr>
            <w:tcW w:type="dxa" w:w="6703"/>
          </w:tcPr>
          <w:p>
            <w:pPr>
              <w:spacing w:after="20" w:before="20"/>
            </w:pPr>
            <w:r>
              <w:rPr>
                <w:b w:val="0"/>
                <w:i w:val="0"/>
                <w:sz w:val="18"/>
              </w:rPr>
              <w:t>NDA fast lane: brief in &lt;1 minute. Full review of a client MSA: brief in &lt;10 minutes. Seller kick-off check: &lt;30 seconds. Register: initial build over all past signed contracts is a one-off batch job completing within a few hours; adding a newly signed contract &lt;10 minutes.</w:t>
            </w:r>
          </w:p>
        </w:tc>
      </w:tr>
      <w:tr>
        <w:tc>
          <w:tcPr>
            <w:tcW w:type="dxa" w:w="2656"/>
          </w:tcPr>
          <w:p>
            <w:pPr>
              <w:spacing w:after="20" w:before="20"/>
            </w:pPr>
            <w:r>
              <w:rPr>
                <w:b/>
                <w:i w:val="0"/>
                <w:sz w:val="18"/>
              </w:rPr>
              <w:t>Reliability / uptime</w:t>
            </w:r>
          </w:p>
        </w:tc>
        <w:tc>
          <w:tcPr>
            <w:tcW w:type="dxa" w:w="6703"/>
          </w:tcPr>
          <w:p>
            <w:pPr>
              <w:spacing w:after="20" w:before="20"/>
            </w:pPr>
            <w:r>
              <w:rPr>
                <w:b w:val="0"/>
                <w:i w:val="0"/>
                <w:sz w:val="18"/>
              </w:rPr>
              <w:t>99% during business hours (IST); a failed check never returns "clean". It returns "couldn't complete: review manually" with what was and wasn't checked.</w:t>
            </w:r>
          </w:p>
        </w:tc>
      </w:tr>
      <w:tr>
        <w:tc>
          <w:tcPr>
            <w:tcW w:type="dxa" w:w="2656"/>
          </w:tcPr>
          <w:p>
            <w:pPr>
              <w:spacing w:after="20" w:before="20"/>
            </w:pPr>
            <w:r>
              <w:rPr>
                <w:b/>
                <w:i w:val="0"/>
                <w:sz w:val="18"/>
              </w:rPr>
              <w:t>Security</w:t>
            </w:r>
          </w:p>
        </w:tc>
        <w:tc>
          <w:tcPr>
            <w:tcW w:type="dxa" w:w="6703"/>
          </w:tcPr>
          <w:p>
            <w:pPr>
              <w:spacing w:after="20" w:before="20"/>
            </w:pPr>
            <w:r>
              <w:rPr>
                <w:b w:val="0"/>
                <w:i w:val="0"/>
                <w:sz w:val="18"/>
              </w:rPr>
              <w:t>Encryption in transit and at rest; role-based access (Karandeep full; sellers see the seller side of every deal, never briefs, the register or other clients' terms; Pranav delivery/data facts); audit log of every view and decision; text in a document or note addressed to an AI reviewer (e.g. "ignore your instructions") is raised as a finding; sign-in with AtliQ's existing work accounts through an off-the-shelf login provider (no custom authentication is built).</w:t>
            </w:r>
          </w:p>
        </w:tc>
      </w:tr>
      <w:tr>
        <w:tc>
          <w:tcPr>
            <w:tcW w:type="dxa" w:w="2656"/>
          </w:tcPr>
          <w:p>
            <w:pPr>
              <w:spacing w:after="20" w:before="20"/>
            </w:pPr>
            <w:r>
              <w:rPr>
                <w:b/>
                <w:i w:val="0"/>
                <w:sz w:val="18"/>
              </w:rPr>
              <w:t>Data retention</w:t>
            </w:r>
          </w:p>
        </w:tc>
        <w:tc>
          <w:tcPr>
            <w:tcW w:type="dxa" w:w="6703"/>
          </w:tcPr>
          <w:p>
            <w:pPr>
              <w:spacing w:after="20" w:before="20"/>
            </w:pPr>
            <w:r>
              <w:rPr>
                <w:b w:val="0"/>
                <w:i w:val="0"/>
                <w:sz w:val="18"/>
              </w:rPr>
              <w:t>Signed contracts, the register and the audit log: kept for the life of the contract plus 7 years (limitation periods for contract claims and tax records), since restrictions such as non-competes outlive the contract. Drafts that are never signed: deleted 90 days after the decision. Meeting notes: kept with their deal on the same rule. Evidence files for compliance alerts: kept with the signed contract. Karandeep confirms these before rollout (§16).</w:t>
            </w:r>
          </w:p>
        </w:tc>
      </w:tr>
      <w:tr>
        <w:tc>
          <w:tcPr>
            <w:tcW w:type="dxa" w:w="2656"/>
          </w:tcPr>
          <w:p>
            <w:pPr>
              <w:spacing w:after="20" w:before="20"/>
            </w:pPr>
            <w:r>
              <w:rPr>
                <w:b/>
                <w:i w:val="0"/>
                <w:sz w:val="18"/>
              </w:rPr>
              <w:t>Masking</w:t>
            </w:r>
          </w:p>
        </w:tc>
        <w:tc>
          <w:tcPr>
            <w:tcW w:type="dxa" w:w="6703"/>
          </w:tcPr>
          <w:p>
            <w:pPr>
              <w:spacing w:after="20" w:before="20"/>
            </w:pPr>
            <w:r>
              <w:rPr>
                <w:b w:val="0"/>
                <w:i w:val="0"/>
                <w:sz w:val="18"/>
              </w:rPr>
              <w:t>Two layers protect client data sent to the AI: (1) provider terms with no training on AtliQ data and no retention beyond processing; (2) masking (FR-26), so the provider sees clause wording but not who the contract is with, who signed it or how much it is worth. What masking cannot hide: the clause wording itself, which the model must read to judge it.</w:t>
            </w:r>
          </w:p>
        </w:tc>
      </w:tr>
      <w:tr>
        <w:tc>
          <w:tcPr>
            <w:tcW w:type="dxa" w:w="2656"/>
          </w:tcPr>
          <w:p>
            <w:pPr>
              <w:spacing w:after="20" w:before="20"/>
            </w:pPr>
            <w:r>
              <w:rPr>
                <w:b/>
                <w:i w:val="0"/>
                <w:sz w:val="18"/>
              </w:rPr>
              <w:t>Privacy and compliance</w:t>
            </w:r>
          </w:p>
        </w:tc>
        <w:tc>
          <w:tcPr>
            <w:tcW w:type="dxa" w:w="6703"/>
          </w:tcPr>
          <w:p>
            <w:pPr>
              <w:spacing w:after="20" w:before="20"/>
            </w:pPr>
            <w:r>
              <w:rPr>
                <w:b w:val="0"/>
                <w:i w:val="0"/>
                <w:sz w:val="18"/>
              </w:rPr>
              <w:t>Client data protected by provider terms and masking (above); contracts stored in AtliQ-controlled storage; no PHI/personal datasets ingested; honours client confidentiality clauses (contract access limited to need-to-know).</w:t>
            </w:r>
          </w:p>
        </w:tc>
      </w:tr>
      <w:tr>
        <w:tc>
          <w:tcPr>
            <w:tcW w:type="dxa" w:w="2656"/>
          </w:tcPr>
          <w:p>
            <w:pPr>
              <w:spacing w:after="20" w:before="20"/>
            </w:pPr>
            <w:r>
              <w:rPr>
                <w:b/>
                <w:i w:val="0"/>
                <w:sz w:val="18"/>
              </w:rPr>
              <w:t>Scalability</w:t>
            </w:r>
          </w:p>
        </w:tc>
        <w:tc>
          <w:tcPr>
            <w:tcW w:type="dxa" w:w="6703"/>
          </w:tcPr>
          <w:p>
            <w:pPr>
              <w:spacing w:after="20" w:before="20"/>
            </w:pPr>
            <w:r>
              <w:rPr>
                <w:b w:val="0"/>
                <w:i w:val="0"/>
                <w:sz w:val="18"/>
              </w:rPr>
              <w:t>Handle ~20 documents/month (more than 2× today), with real contracts of 10 to 15 pages, and a register of 200+ contracts without design changes. Clause index sized for 500+ contracts (~20,000+ clauses) with similarity lookups in &lt;1 second per clause; moving from the prototype index file to a database vector index changes storage only, not behaviour.</w:t>
            </w:r>
          </w:p>
        </w:tc>
      </w:tr>
      <w:tr>
        <w:tc>
          <w:tcPr>
            <w:tcW w:type="dxa" w:w="2656"/>
          </w:tcPr>
          <w:p>
            <w:pPr>
              <w:spacing w:after="20" w:before="20"/>
            </w:pPr>
            <w:r>
              <w:rPr>
                <w:b/>
                <w:i w:val="0"/>
                <w:sz w:val="18"/>
              </w:rPr>
              <w:t>Integrations</w:t>
            </w:r>
          </w:p>
        </w:tc>
        <w:tc>
          <w:tcPr>
            <w:tcW w:type="dxa" w:w="6703"/>
          </w:tcPr>
          <w:p>
            <w:pPr>
              <w:spacing w:after="20" w:before="20"/>
            </w:pPr>
            <w:r>
              <w:rPr>
                <w:b/>
                <w:i w:val="0"/>
                <w:sz w:val="18"/>
              </w:rPr>
              <w:t>MVP:</w:t>
            </w:r>
            <w:r>
              <w:rPr>
                <w:b w:val="0"/>
                <w:i w:val="0"/>
                <w:sz w:val="18"/>
              </w:rPr>
              <w:t xml:space="preserve"> manual upload into deals; one-time CSV import of the existing tracker; no live connections to inboxes, drives or calendars. </w:t>
            </w:r>
            <w:r>
              <w:rPr>
                <w:b/>
                <w:i w:val="0"/>
                <w:sz w:val="18"/>
              </w:rPr>
              <w:t>Later (v2):</w:t>
            </w:r>
            <w:r>
              <w:rPr>
                <w:b w:val="0"/>
                <w:i w:val="0"/>
                <w:sz w:val="18"/>
              </w:rPr>
              <w:t xml:space="preserve"> contracts@ forwarding address, watched Drive folder, calendar/meeting-note integrations (with consent rules), e-signature status. </w:t>
            </w:r>
            <w:r>
              <w:rPr>
                <w:b/>
                <w:i w:val="0"/>
                <w:sz w:val="18"/>
              </w:rPr>
              <w:t>Never:</w:t>
            </w:r>
            <w:r>
              <w:rPr>
                <w:b w:val="0"/>
                <w:i w:val="0"/>
                <w:sz w:val="18"/>
              </w:rPr>
              <w:t xml:space="preserve"> outbound auto-sending integrations.</w:t>
            </w:r>
          </w:p>
        </w:tc>
      </w:tr>
      <w:tr>
        <w:tc>
          <w:tcPr>
            <w:tcW w:type="dxa" w:w="2656"/>
          </w:tcPr>
          <w:p>
            <w:pPr>
              <w:spacing w:after="20" w:before="20"/>
            </w:pPr>
            <w:r>
              <w:rPr>
                <w:b/>
                <w:i w:val="0"/>
                <w:sz w:val="18"/>
              </w:rPr>
              <w:t>Explainability &amp; auditability</w:t>
            </w:r>
          </w:p>
        </w:tc>
        <w:tc>
          <w:tcPr>
            <w:tcW w:type="dxa" w:w="6703"/>
          </w:tcPr>
          <w:p>
            <w:pPr>
              <w:spacing w:after="20" w:before="20"/>
            </w:pPr>
            <w:r>
              <w:rPr>
                <w:b w:val="0"/>
                <w:i w:val="0"/>
                <w:sz w:val="18"/>
              </w:rPr>
              <w:t>Every finding links to a clause (verbatim quote + location) and to the register/playbook entry used; versions recorded; reproducible on re-run.</w:t>
            </w:r>
          </w:p>
        </w:tc>
      </w:tr>
      <w:tr>
        <w:tc>
          <w:tcPr>
            <w:tcW w:type="dxa" w:w="2656"/>
          </w:tcPr>
          <w:p>
            <w:pPr>
              <w:spacing w:after="20" w:before="20"/>
            </w:pPr>
            <w:r>
              <w:rPr>
                <w:b/>
                <w:i w:val="0"/>
                <w:sz w:val="18"/>
              </w:rPr>
              <w:t>Usability</w:t>
            </w:r>
          </w:p>
        </w:tc>
        <w:tc>
          <w:tcPr>
            <w:tcW w:type="dxa" w:w="6703"/>
          </w:tcPr>
          <w:p>
            <w:pPr>
              <w:spacing w:after="20" w:before="20"/>
            </w:pPr>
            <w:r>
              <w:rPr>
                <w:b w:val="0"/>
                <w:i w:val="0"/>
                <w:sz w:val="18"/>
              </w:rPr>
              <w:t>Web portal; the brief and decision panel are readable in a phone browser (no mobile app, §13.1). Signing is never offered in the product.</w:t>
            </w:r>
          </w:p>
        </w:tc>
      </w:tr>
    </w:tbl>
    <w:p>
      <w:pPr>
        <w:spacing w:after="40"/>
      </w:pPr>
    </w:p>
    <w:p>
      <w:pPr>
        <w:pStyle w:val="Heading1"/>
      </w:pPr>
      <w:r>
        <w:rPr>
          <w:b w:val="0"/>
          <w:i w:val="0"/>
        </w:rPr>
        <w:t>9. Behaviour, Output Specification and Workflow</w:t>
      </w:r>
    </w:p>
    <w:p>
      <w:pPr>
        <w:pStyle w:val="Heading2"/>
      </w:pPr>
      <w:r>
        <w:rPr>
          <w:b w:val="0"/>
          <w:i w:val="0"/>
        </w:rPr>
        <w:t>9.1 Standard Output Per Role</w:t>
      </w:r>
    </w:p>
    <w:p>
      <w:r>
        <w:rPr>
          <w:b/>
          <w:i w:val="0"/>
        </w:rPr>
        <w:t>Karandeep: Decision Brief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Output field</w:t>
            </w:r>
          </w:p>
        </w:tc>
        <w:tc>
          <w:tcPr>
            <w:tcW w:type="dxa" w:w="6703"/>
            <w:shd w:val="clear" w:color="auto" w:fill="DCE6F2"/>
          </w:tcPr>
          <w:p>
            <w:pPr>
              <w:spacing w:after="20" w:before="20"/>
            </w:pPr>
            <w:r>
              <w:rPr>
                <w:b/>
                <w:i w:val="0"/>
                <w:sz w:val="18"/>
              </w:rPr>
              <w:t>Description</w:t>
            </w:r>
          </w:p>
        </w:tc>
      </w:tr>
      <w:tr>
        <w:tc>
          <w:tcPr>
            <w:tcW w:type="dxa" w:w="2656"/>
          </w:tcPr>
          <w:p>
            <w:pPr>
              <w:spacing w:after="20" w:before="20"/>
            </w:pPr>
            <w:r>
              <w:rPr>
                <w:b/>
                <w:i w:val="0"/>
                <w:sz w:val="18"/>
              </w:rPr>
              <w:t>Verdict + action</w:t>
            </w:r>
          </w:p>
        </w:tc>
        <w:tc>
          <w:tcPr>
            <w:tcW w:type="dxa" w:w="6703"/>
          </w:tcPr>
          <w:p>
            <w:pPr>
              <w:spacing w:after="20" w:before="20"/>
            </w:pPr>
            <w:r>
              <w:rPr>
                <w:b w:val="0"/>
                <w:i w:val="0"/>
                <w:sz w:val="18"/>
              </w:rPr>
              <w:t xml:space="preserve">One line, fixed vocabulary that mirrors the decision buttons: </w:t>
            </w:r>
            <w:r>
              <w:rPr>
                <w:b/>
                <w:i w:val="0"/>
                <w:sz w:val="18"/>
              </w:rPr>
              <w:t>SIGN</w:t>
            </w:r>
            <w:r>
              <w:rPr>
                <w:b w:val="0"/>
                <w:i w:val="0"/>
                <w:sz w:val="18"/>
              </w:rPr>
              <w:t xml:space="preserve"> · </w:t>
            </w:r>
            <w:r>
              <w:rPr>
                <w:b/>
                <w:i w:val="0"/>
                <w:sz w:val="18"/>
              </w:rPr>
              <w:t>SIGN AFTER CHANGES</w:t>
            </w:r>
            <w:r>
              <w:rPr>
                <w:b w:val="0"/>
                <w:i w:val="0"/>
                <w:sz w:val="18"/>
              </w:rPr>
              <w:t xml:space="preserve"> (negotiable deviations) · </w:t>
            </w:r>
            <w:r>
              <w:rPr>
                <w:b/>
                <w:i w:val="0"/>
                <w:sz w:val="18"/>
              </w:rPr>
              <w:t>SEND BACK</w:t>
            </w:r>
            <w:r>
              <w:rPr>
                <w:b w:val="0"/>
                <w:i w:val="0"/>
                <w:sz w:val="18"/>
              </w:rPr>
              <w:t xml:space="preserve"> (fixes needed from the other side, e.g. wrong entity, missing document) · </w:t>
            </w:r>
            <w:r>
              <w:rPr>
                <w:b/>
                <w:i w:val="0"/>
                <w:sz w:val="18"/>
              </w:rPr>
              <w:t>HOLD</w:t>
            </w:r>
            <w:r>
              <w:rPr>
                <w:b w:val="0"/>
                <w:i w:val="0"/>
                <w:sz w:val="18"/>
              </w:rPr>
              <w:t xml:space="preserve"> (a blocker needs Karandeep's decision, a waiver, counsel or a missing input). The system never recommends "Reject"; that call is Karandeep's alone. Plus the next action and the deadline.</w:t>
            </w:r>
          </w:p>
        </w:tc>
      </w:tr>
      <w:tr>
        <w:tc>
          <w:tcPr>
            <w:tcW w:type="dxa" w:w="2656"/>
          </w:tcPr>
          <w:p>
            <w:pPr>
              <w:spacing w:after="20" w:before="20"/>
            </w:pPr>
            <w:r>
              <w:rPr>
                <w:b/>
                <w:i w:val="0"/>
                <w:sz w:val="18"/>
              </w:rPr>
              <w:t>Compliance alert (when present)</w:t>
            </w:r>
          </w:p>
        </w:tc>
        <w:tc>
          <w:tcPr>
            <w:tcW w:type="dxa" w:w="6703"/>
          </w:tcPr>
          <w:p>
            <w:pPr>
              <w:spacing w:after="20" w:before="20"/>
            </w:pPr>
            <w:r>
              <w:rPr>
                <w:b w:val="0"/>
                <w:i w:val="0"/>
                <w:sz w:val="18"/>
              </w:rPr>
              <w:t>Pinned above everything else; verdict cannot be SIGN while open; closed by evidence or Karandeep's attested note (FR-21).</w:t>
            </w:r>
          </w:p>
        </w:tc>
      </w:tr>
      <w:tr>
        <w:tc>
          <w:tcPr>
            <w:tcW w:type="dxa" w:w="2656"/>
          </w:tcPr>
          <w:p>
            <w:pPr>
              <w:spacing w:after="20" w:before="20"/>
            </w:pPr>
            <w:r>
              <w:rPr>
                <w:b/>
                <w:i w:val="0"/>
                <w:sz w:val="18"/>
              </w:rPr>
              <w:t>Blockers (max 3)</w:t>
            </w:r>
          </w:p>
        </w:tc>
        <w:tc>
          <w:tcPr>
            <w:tcW w:type="dxa" w:w="6703"/>
          </w:tcPr>
          <w:p>
            <w:pPr>
              <w:spacing w:after="20" w:before="20"/>
            </w:pPr>
            <w:r>
              <w:rPr>
                <w:b w:val="0"/>
                <w:i w:val="0"/>
                <w:sz w:val="18"/>
              </w:rPr>
              <w:t>Each: plain-English business impact ("conflicts with Trustline, a live contract"), both clauses quoted with location, severity, confidence, and who acts, as a role (Karandeep, AtliQ before sending, deal team, tech lead, seller, other side, counsel; FR-12).</w:t>
            </w:r>
          </w:p>
        </w:tc>
      </w:tr>
      <w:tr>
        <w:tc>
          <w:tcPr>
            <w:tcW w:type="dxa" w:w="2656"/>
          </w:tcPr>
          <w:p>
            <w:pPr>
              <w:spacing w:after="20" w:before="20"/>
            </w:pPr>
            <w:r>
              <w:rPr>
                <w:b/>
                <w:i w:val="0"/>
                <w:sz w:val="18"/>
              </w:rPr>
              <w:t>Precedent</w:t>
            </w:r>
          </w:p>
        </w:tc>
        <w:tc>
          <w:tcPr>
            <w:tcW w:type="dxa" w:w="6703"/>
          </w:tcPr>
          <w:p>
            <w:pPr>
              <w:spacing w:after="20" w:before="20"/>
            </w:pPr>
            <w:r>
              <w:rPr>
                <w:b w:val="0"/>
                <w:i w:val="0"/>
                <w:sz w:val="18"/>
              </w:rPr>
              <w:t>Karandeep's past position on this point, labelled standard / exception / concession / accident.</w:t>
            </w:r>
          </w:p>
        </w:tc>
      </w:tr>
      <w:tr>
        <w:tc>
          <w:tcPr>
            <w:tcW w:type="dxa" w:w="2656"/>
          </w:tcPr>
          <w:p>
            <w:pPr>
              <w:spacing w:after="20" w:before="20"/>
            </w:pPr>
            <w:r>
              <w:rPr>
                <w:b/>
                <w:i w:val="0"/>
                <w:sz w:val="18"/>
              </w:rPr>
              <w:t>Similar past clauses (expandable, per key clause)</w:t>
            </w:r>
          </w:p>
        </w:tc>
        <w:tc>
          <w:tcPr>
            <w:tcW w:type="dxa" w:w="6703"/>
          </w:tcPr>
          <w:p>
            <w:pPr>
              <w:spacing w:after="20" w:before="20"/>
            </w:pPr>
            <w:r>
              <w:rPr>
                <w:b w:val="0"/>
                <w:i w:val="0"/>
                <w:sz w:val="18"/>
              </w:rPr>
              <w:t>Up to 3 signed clauses closest to this one: contract, date, clause ref, intent label, and how it differs ("same 5% cap, but no client-delay exclusion"). Exceptions/accidents marked "one-off: not a precedent". Reference only; never changes the verdict (FR-22).</w:t>
            </w:r>
          </w:p>
        </w:tc>
      </w:tr>
      <w:tr>
        <w:tc>
          <w:tcPr>
            <w:tcW w:type="dxa" w:w="2656"/>
          </w:tcPr>
          <w:p>
            <w:pPr>
              <w:spacing w:after="20" w:before="20"/>
            </w:pPr>
            <w:r>
              <w:rPr>
                <w:b/>
                <w:i w:val="0"/>
                <w:sz w:val="18"/>
              </w:rPr>
              <w:t>Worth negotiating (collapsed)</w:t>
            </w:r>
          </w:p>
        </w:tc>
        <w:tc>
          <w:tcPr>
            <w:tcW w:type="dxa" w:w="6703"/>
          </w:tcPr>
          <w:p>
            <w:pPr>
              <w:spacing w:after="20" w:before="20"/>
            </w:pPr>
            <w:r>
              <w:rPr>
                <w:b w:val="0"/>
                <w:i w:val="0"/>
                <w:sz w:val="18"/>
              </w:rPr>
              <w:t>Medium items with the playbook's counter-position.</w:t>
            </w:r>
          </w:p>
        </w:tc>
      </w:tr>
      <w:tr>
        <w:tc>
          <w:tcPr>
            <w:tcW w:type="dxa" w:w="2656"/>
          </w:tcPr>
          <w:p>
            <w:pPr>
              <w:spacing w:after="20" w:before="20"/>
            </w:pPr>
            <w:r>
              <w:rPr>
                <w:b/>
                <w:i w:val="0"/>
                <w:sz w:val="18"/>
              </w:rPr>
              <w:t>What's fine</w:t>
            </w:r>
          </w:p>
        </w:tc>
        <w:tc>
          <w:tcPr>
            <w:tcW w:type="dxa" w:w="6703"/>
          </w:tcPr>
          <w:p>
            <w:pPr>
              <w:spacing w:after="20" w:before="20"/>
            </w:pPr>
            <w:r>
              <w:rPr>
                <w:b w:val="0"/>
                <w:i w:val="0"/>
                <w:sz w:val="18"/>
              </w:rPr>
              <w:t>One line listing checks passed (e.g. "LDs match your standard; correct entity; Indian law").</w:t>
            </w:r>
          </w:p>
        </w:tc>
      </w:tr>
      <w:tr>
        <w:tc>
          <w:tcPr>
            <w:tcW w:type="dxa" w:w="2656"/>
          </w:tcPr>
          <w:p>
            <w:pPr>
              <w:spacing w:after="20" w:before="20"/>
            </w:pPr>
            <w:r>
              <w:rPr>
                <w:b/>
                <w:i w:val="0"/>
                <w:sz w:val="18"/>
              </w:rPr>
              <w:t>What wasn't seen</w:t>
            </w:r>
          </w:p>
        </w:tc>
        <w:tc>
          <w:tcPr>
            <w:tcW w:type="dxa" w:w="6703"/>
          </w:tcPr>
          <w:p>
            <w:pPr>
              <w:spacing w:after="20" w:before="20"/>
            </w:pPr>
            <w:r>
              <w:rPr>
                <w:b w:val="0"/>
                <w:i w:val="0"/>
                <w:sz w:val="18"/>
              </w:rPr>
              <w:t>Missing annexes/documents, illegible clauses, facts that need confirmation, and live commitments the conflict check doesn't compare ("check by hand").</w:t>
            </w:r>
          </w:p>
        </w:tc>
      </w:tr>
      <w:tr>
        <w:tc>
          <w:tcPr>
            <w:tcW w:type="dxa" w:w="2656"/>
          </w:tcPr>
          <w:p>
            <w:pPr>
              <w:spacing w:after="20" w:before="20"/>
            </w:pPr>
            <w:r>
              <w:rPr>
                <w:b/>
                <w:i w:val="0"/>
                <w:sz w:val="18"/>
              </w:rPr>
              <w:t>Checked, expired</w:t>
            </w:r>
          </w:p>
        </w:tc>
        <w:tc>
          <w:tcPr>
            <w:tcW w:type="dxa" w:w="6703"/>
          </w:tcPr>
          <w:p>
            <w:pPr>
              <w:spacing w:after="20" w:before="20"/>
            </w:pPr>
            <w:r>
              <w:rPr>
                <w:b w:val="0"/>
                <w:i w:val="0"/>
                <w:sz w:val="18"/>
              </w:rPr>
              <w:t>Expired commitments that would otherwise have matched the deal, with end date and source clause. Context only; never a finding (FR-25).</w:t>
            </w:r>
          </w:p>
        </w:tc>
      </w:tr>
      <w:tr>
        <w:tc>
          <w:tcPr>
            <w:tcW w:type="dxa" w:w="2656"/>
          </w:tcPr>
          <w:p>
            <w:pPr>
              <w:spacing w:after="20" w:before="20"/>
            </w:pPr>
            <w:r>
              <w:rPr>
                <w:b/>
                <w:i w:val="0"/>
                <w:sz w:val="18"/>
              </w:rPr>
              <w:t>Register-entry labels</w:t>
            </w:r>
          </w:p>
        </w:tc>
        <w:tc>
          <w:tcPr>
            <w:tcW w:type="dxa" w:w="6703"/>
          </w:tcPr>
          <w:p>
            <w:pPr>
              <w:spacing w:after="20" w:before="20"/>
            </w:pPr>
            <w:r>
              <w:rPr>
                <w:b w:val="0"/>
                <w:i w:val="0"/>
                <w:sz w:val="18"/>
              </w:rPr>
              <w:t>Findings based on an unverified register entry say so, with a link to verify it.</w:t>
            </w:r>
          </w:p>
        </w:tc>
      </w:tr>
      <w:tr>
        <w:tc>
          <w:tcPr>
            <w:tcW w:type="dxa" w:w="2656"/>
          </w:tcPr>
          <w:p>
            <w:pPr>
              <w:spacing w:after="20" w:before="20"/>
            </w:pPr>
            <w:r>
              <w:rPr>
                <w:b/>
                <w:i w:val="0"/>
                <w:sz w:val="18"/>
              </w:rPr>
              <w:t>Counsel pack (tier 4 only)</w:t>
            </w:r>
          </w:p>
        </w:tc>
        <w:tc>
          <w:tcPr>
            <w:tcW w:type="dxa" w:w="6703"/>
          </w:tcPr>
          <w:p>
            <w:pPr>
              <w:spacing w:after="20" w:before="20"/>
            </w:pPr>
            <w:r>
              <w:rPr>
                <w:b w:val="0"/>
                <w:i w:val="0"/>
                <w:sz w:val="18"/>
              </w:rPr>
              <w:t>Draft + conflicting clauses + waivers + entity facts + the exact question, prepared for Karandeep to send.</w:t>
            </w:r>
          </w:p>
        </w:tc>
      </w:tr>
    </w:tbl>
    <w:p>
      <w:pPr>
        <w:spacing w:after="40"/>
      </w:pPr>
    </w:p>
    <w:p>
      <w:r>
        <w:rPr>
          <w:b/>
          <w:i w:val="0"/>
        </w:rPr>
        <w:t>Karandeep: Decision &amp; Feedback Panel</w:t>
      </w:r>
      <w:r>
        <w:rPr>
          <w:b w:val="0"/>
          <w:i w:val="0"/>
        </w:rPr>
        <w:t xml:space="preserve"> (part of the brief; controls in FR-12)</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Output field / control</w:t>
            </w:r>
          </w:p>
        </w:tc>
        <w:tc>
          <w:tcPr>
            <w:tcW w:type="dxa" w:w="6703"/>
            <w:shd w:val="clear" w:color="auto" w:fill="DCE6F2"/>
          </w:tcPr>
          <w:p>
            <w:pPr>
              <w:spacing w:after="20" w:before="20"/>
            </w:pPr>
            <w:r>
              <w:rPr>
                <w:b/>
                <w:i w:val="0"/>
                <w:sz w:val="18"/>
              </w:rPr>
              <w:t>Description</w:t>
            </w:r>
          </w:p>
        </w:tc>
      </w:tr>
      <w:tr>
        <w:tc>
          <w:tcPr>
            <w:tcW w:type="dxa" w:w="2656"/>
          </w:tcPr>
          <w:p>
            <w:pPr>
              <w:spacing w:after="20" w:before="20"/>
            </w:pPr>
            <w:r>
              <w:rPr>
                <w:b/>
                <w:i w:val="0"/>
                <w:sz w:val="18"/>
              </w:rPr>
              <w:t>Reactions and "+ missed"</w:t>
            </w:r>
          </w:p>
        </w:tc>
        <w:tc>
          <w:tcPr>
            <w:tcW w:type="dxa" w:w="6703"/>
          </w:tcPr>
          <w:p>
            <w:pPr>
              <w:spacing w:after="20" w:before="20"/>
            </w:pPr>
            <w:r>
              <w:rPr>
                <w:b w:val="0"/>
                <w:i w:val="0"/>
                <w:sz w:val="18"/>
              </w:rPr>
              <w:t>✓ Agree · ✗ Disagree (reason for blockers) · ⇅ Severity per finding; "+ Something the brief missed" becomes an eval regression case.</w:t>
            </w:r>
          </w:p>
        </w:tc>
      </w:tr>
      <w:tr>
        <w:tc>
          <w:tcPr>
            <w:tcW w:type="dxa" w:w="2656"/>
          </w:tcPr>
          <w:p>
            <w:pPr>
              <w:spacing w:after="20" w:before="20"/>
            </w:pPr>
            <w:r>
              <w:rPr>
                <w:b/>
                <w:i w:val="0"/>
                <w:sz w:val="18"/>
              </w:rPr>
              <w:t>Decision</w:t>
            </w:r>
          </w:p>
        </w:tc>
        <w:tc>
          <w:tcPr>
            <w:tcW w:type="dxa" w:w="6703"/>
          </w:tcPr>
          <w:p>
            <w:pPr>
              <w:spacing w:after="20" w:before="20"/>
            </w:pPr>
            <w:r>
              <w:rPr>
                <w:b w:val="0"/>
                <w:i w:val="0"/>
                <w:sz w:val="18"/>
              </w:rPr>
              <w:t xml:space="preserve">Sign · Sign after changes · Hold · Send back · Reject · Escalate to counsel, then </w:t>
            </w:r>
            <w:r>
              <w:rPr>
                <w:b/>
                <w:i w:val="0"/>
                <w:sz w:val="18"/>
              </w:rPr>
              <w:t>finalise review</w:t>
            </w:r>
            <w:r>
              <w:rPr>
                <w:b w:val="0"/>
                <w:i w:val="0"/>
                <w:sz w:val="18"/>
              </w:rPr>
              <w:t xml:space="preserve">. </w:t>
            </w:r>
            <w:r>
              <w:rPr>
                <w:b/>
                <w:i w:val="0"/>
                <w:sz w:val="18"/>
              </w:rPr>
              <w:t>Recorded, never executed:</w:t>
            </w:r>
            <w:r>
              <w:rPr>
                <w:b w:val="0"/>
                <w:i w:val="0"/>
                <w:sz w:val="18"/>
              </w:rPr>
              <w:t xml:space="preserve"> it moves the queue, but Yours Legally, sends, signs or contacts no one. The person who signs owns the commitment; a tool acting on his behalf would blur that accountability.</w:t>
            </w:r>
          </w:p>
        </w:tc>
      </w:tr>
      <w:tr>
        <w:tc>
          <w:tcPr>
            <w:tcW w:type="dxa" w:w="2656"/>
          </w:tcPr>
          <w:p>
            <w:pPr>
              <w:spacing w:after="20" w:before="20"/>
            </w:pPr>
            <w:r>
              <w:rPr>
                <w:b/>
                <w:i w:val="0"/>
                <w:sz w:val="18"/>
              </w:rPr>
              <w:t>One follow-up question</w:t>
            </w:r>
          </w:p>
        </w:tc>
        <w:tc>
          <w:tcPr>
            <w:tcW w:type="dxa" w:w="6703"/>
          </w:tcPr>
          <w:p>
            <w:pPr>
              <w:spacing w:after="20" w:before="20"/>
            </w:pPr>
            <w:r>
              <w:rPr>
                <w:b w:val="0"/>
                <w:i w:val="0"/>
                <w:sz w:val="18"/>
              </w:rPr>
              <w:t>"Did you need to open the full contract or other documents to decide?" No / Yes → missing context · didn't trust a citation · brief unclear.</w:t>
            </w:r>
          </w:p>
        </w:tc>
      </w:tr>
      <w:tr>
        <w:tc>
          <w:tcPr>
            <w:tcW w:type="dxa" w:w="2656"/>
          </w:tcPr>
          <w:p>
            <w:pPr>
              <w:spacing w:after="20" w:before="20"/>
            </w:pPr>
            <w:r>
              <w:rPr>
                <w:b/>
                <w:i w:val="0"/>
                <w:sz w:val="18"/>
              </w:rPr>
              <w:t>Versions</w:t>
            </w:r>
          </w:p>
        </w:tc>
        <w:tc>
          <w:tcPr>
            <w:tcW w:type="dxa" w:w="6703"/>
          </w:tcPr>
          <w:p>
            <w:pPr>
              <w:spacing w:after="20" w:before="20"/>
            </w:pPr>
            <w:r>
              <w:rPr>
                <w:b w:val="0"/>
                <w:i w:val="0"/>
                <w:sz w:val="18"/>
              </w:rPr>
              <w:t xml:space="preserve">From v2: </w:t>
            </w:r>
            <w:r>
              <w:rPr>
                <w:b/>
                <w:i w:val="0"/>
                <w:sz w:val="18"/>
              </w:rPr>
              <w:t>New in this version · Still open · Resolved</w:t>
            </w:r>
            <w:r>
              <w:rPr>
                <w:b w:val="0"/>
                <w:i w:val="0"/>
                <w:sz w:val="18"/>
              </w:rPr>
              <w:t>; earlier reactions carry forward.</w:t>
            </w:r>
          </w:p>
        </w:tc>
      </w:tr>
    </w:tbl>
    <w:p>
      <w:pPr>
        <w:spacing w:after="40"/>
      </w:pPr>
    </w:p>
    <w:p>
      <w:r>
        <w:rPr>
          <w:b w:val="0"/>
          <w:i w:val="0"/>
        </w:rPr>
        <w:t>The Register screen is specified in FR-2.</w:t>
      </w:r>
    </w:p>
    <w:p>
      <w:r>
        <w:rPr>
          <w:b/>
          <w:i w:val="0"/>
        </w:rPr>
        <w:t>Seller: Deal Heads-up</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Output field</w:t>
            </w:r>
          </w:p>
        </w:tc>
        <w:tc>
          <w:tcPr>
            <w:tcW w:type="dxa" w:w="6703"/>
            <w:shd w:val="clear" w:color="auto" w:fill="DCE6F2"/>
          </w:tcPr>
          <w:p>
            <w:pPr>
              <w:spacing w:after="20" w:before="20"/>
            </w:pPr>
            <w:r>
              <w:rPr>
                <w:b/>
                <w:i w:val="0"/>
                <w:sz w:val="18"/>
              </w:rPr>
              <w:t>Description</w:t>
            </w:r>
          </w:p>
        </w:tc>
      </w:tr>
      <w:tr>
        <w:tc>
          <w:tcPr>
            <w:tcW w:type="dxa" w:w="2656"/>
          </w:tcPr>
          <w:p>
            <w:pPr>
              <w:spacing w:after="20" w:before="20"/>
            </w:pPr>
            <w:r>
              <w:rPr>
                <w:b/>
                <w:i w:val="0"/>
                <w:sz w:val="18"/>
              </w:rPr>
              <w:t>Item status</w:t>
            </w:r>
          </w:p>
        </w:tc>
        <w:tc>
          <w:tcPr>
            <w:tcW w:type="dxa" w:w="6703"/>
          </w:tcPr>
          <w:p>
            <w:pPr>
              <w:spacing w:after="20" w:before="20"/>
            </w:pPr>
            <w:r>
              <w:rPr>
                <w:b w:val="0"/>
                <w:i w:val="0"/>
                <w:sz w:val="18"/>
              </w:rPr>
              <w:t>Green / amber / red per form item, with the clause behind each flag.</w:t>
            </w:r>
          </w:p>
        </w:tc>
      </w:tr>
      <w:tr>
        <w:tc>
          <w:tcPr>
            <w:tcW w:type="dxa" w:w="2656"/>
          </w:tcPr>
          <w:p>
            <w:pPr>
              <w:spacing w:after="20" w:before="20"/>
            </w:pPr>
            <w:r>
              <w:rPr>
                <w:b/>
                <w:i w:val="0"/>
                <w:sz w:val="18"/>
              </w:rPr>
              <w:t>What it means / what to do</w:t>
            </w:r>
          </w:p>
        </w:tc>
        <w:tc>
          <w:tcPr>
            <w:tcW w:type="dxa" w:w="6703"/>
          </w:tcPr>
          <w:p>
            <w:pPr>
              <w:spacing w:after="20" w:before="20"/>
            </w:pPr>
            <w:r>
              <w:rPr>
                <w:b w:val="0"/>
                <w:i w:val="0"/>
                <w:sz w:val="18"/>
              </w:rPr>
              <w:t>Plain-English implication and next step; amber/red always "talk to Karandeep before proposing".</w:t>
            </w:r>
          </w:p>
        </w:tc>
      </w:tr>
      <w:tr>
        <w:tc>
          <w:tcPr>
            <w:tcW w:type="dxa" w:w="2656"/>
          </w:tcPr>
          <w:p>
            <w:pPr>
              <w:spacing w:after="20" w:before="20"/>
            </w:pPr>
            <w:r>
              <w:rPr>
                <w:b/>
                <w:i w:val="0"/>
                <w:sz w:val="18"/>
              </w:rPr>
              <w:t>Couldn't check</w:t>
            </w:r>
          </w:p>
        </w:tc>
        <w:tc>
          <w:tcPr>
            <w:tcW w:type="dxa" w:w="6703"/>
          </w:tcPr>
          <w:p>
            <w:pPr>
              <w:spacing w:after="20" w:before="20"/>
            </w:pPr>
            <w:r>
              <w:rPr>
                <w:b w:val="0"/>
                <w:i w:val="0"/>
                <w:sz w:val="18"/>
              </w:rPr>
              <w:t>Any free-text item not matched to a register entry is listed explicitly.</w:t>
            </w:r>
          </w:p>
        </w:tc>
      </w:tr>
      <w:tr>
        <w:tc>
          <w:tcPr>
            <w:tcW w:type="dxa" w:w="2656"/>
          </w:tcPr>
          <w:p>
            <w:pPr>
              <w:spacing w:after="20" w:before="20"/>
            </w:pPr>
            <w:r>
              <w:rPr>
                <w:b/>
                <w:i w:val="0"/>
                <w:sz w:val="18"/>
              </w:rPr>
              <w:t>As of</w:t>
            </w:r>
          </w:p>
        </w:tc>
        <w:tc>
          <w:tcPr>
            <w:tcW w:type="dxa" w:w="6703"/>
          </w:tcPr>
          <w:p>
            <w:pPr>
              <w:spacing w:after="20" w:before="20"/>
            </w:pPr>
            <w:r>
              <w:rPr>
                <w:b w:val="0"/>
                <w:i w:val="0"/>
                <w:sz w:val="18"/>
              </w:rPr>
              <w:t>Date of the answer and the register version used; "the contract review is the final word".</w:t>
            </w:r>
          </w:p>
        </w:tc>
      </w:tr>
      <w:tr>
        <w:tc>
          <w:tcPr>
            <w:tcW w:type="dxa" w:w="2656"/>
          </w:tcPr>
          <w:p>
            <w:pPr>
              <w:spacing w:after="20" w:before="20"/>
            </w:pPr>
            <w:r>
              <w:rPr>
                <w:b/>
                <w:i w:val="0"/>
                <w:sz w:val="18"/>
              </w:rPr>
              <w:t>Re-check banner</w:t>
            </w:r>
          </w:p>
        </w:tc>
        <w:tc>
          <w:tcPr>
            <w:tcW w:type="dxa" w:w="6703"/>
          </w:tcPr>
          <w:p>
            <w:pPr>
              <w:spacing w:after="20" w:before="20"/>
            </w:pPr>
            <w:r>
              <w:rPr>
                <w:b w:val="0"/>
                <w:i w:val="0"/>
                <w:sz w:val="18"/>
              </w:rPr>
              <w:t>Shown when Karandeep has re-checked the deal's contract or AtliQ's commitments have changed since the answer was given; one tap re-runs the check.</w:t>
            </w:r>
          </w:p>
        </w:tc>
      </w:tr>
    </w:tbl>
    <w:p>
      <w:pPr>
        <w:spacing w:after="40"/>
      </w:pPr>
    </w:p>
    <w:p>
      <w:pPr>
        <w:pStyle w:val="Heading2"/>
      </w:pPr>
      <w:r>
        <w:rPr>
          <w:b w:val="0"/>
          <w:i w:val="0"/>
        </w:rPr>
        <w:t>9.2 Required Behaviour States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91"/>
        <w:gridCol w:w="2476"/>
        <w:gridCol w:w="5592"/>
      </w:tblGrid>
      <w:tr>
        <w:trPr>
          <w:tblHeader/>
        </w:trPr>
        <w:tc>
          <w:tcPr>
            <w:tcW w:type="dxa" w:w="1291"/>
            <w:shd w:val="clear" w:color="auto" w:fill="DCE6F2"/>
          </w:tcPr>
          <w:p>
            <w:pPr>
              <w:spacing w:after="20" w:before="20"/>
            </w:pPr>
            <w:r>
              <w:rPr>
                <w:b/>
                <w:i w:val="0"/>
                <w:sz w:val="18"/>
              </w:rPr>
              <w:t>State</w:t>
            </w:r>
          </w:p>
        </w:tc>
        <w:tc>
          <w:tcPr>
            <w:tcW w:type="dxa" w:w="2476"/>
            <w:shd w:val="clear" w:color="auto" w:fill="DCE6F2"/>
          </w:tcPr>
          <w:p>
            <w:pPr>
              <w:spacing w:after="20" w:before="20"/>
            </w:pPr>
            <w:r>
              <w:rPr>
                <w:b/>
                <w:i w:val="0"/>
                <w:sz w:val="18"/>
              </w:rPr>
              <w:t>What triggers it</w:t>
            </w:r>
          </w:p>
        </w:tc>
        <w:tc>
          <w:tcPr>
            <w:tcW w:type="dxa" w:w="5592"/>
            <w:shd w:val="clear" w:color="auto" w:fill="DCE6F2"/>
          </w:tcPr>
          <w:p>
            <w:pPr>
              <w:spacing w:after="20" w:before="20"/>
            </w:pPr>
            <w:r>
              <w:rPr>
                <w:b/>
                <w:i w:val="0"/>
                <w:sz w:val="18"/>
              </w:rPr>
              <w:t>Required behaviour</w:t>
            </w:r>
          </w:p>
        </w:tc>
      </w:tr>
      <w:tr>
        <w:tc>
          <w:tcPr>
            <w:tcW w:type="dxa" w:w="1291"/>
          </w:tcPr>
          <w:p>
            <w:pPr>
              <w:spacing w:after="20" w:before="20"/>
            </w:pPr>
            <w:r>
              <w:rPr>
                <w:b/>
                <w:i w:val="0"/>
                <w:sz w:val="18"/>
              </w:rPr>
              <w:t>Clean</w:t>
            </w:r>
          </w:p>
        </w:tc>
        <w:tc>
          <w:tcPr>
            <w:tcW w:type="dxa" w:w="2476"/>
          </w:tcPr>
          <w:p>
            <w:pPr>
              <w:spacing w:after="20" w:before="20"/>
            </w:pPr>
            <w:r>
              <w:rPr>
                <w:b w:val="0"/>
                <w:i w:val="0"/>
                <w:sz w:val="18"/>
              </w:rPr>
              <w:t>All checks pass; no register collisions</w:t>
            </w:r>
          </w:p>
        </w:tc>
        <w:tc>
          <w:tcPr>
            <w:tcW w:type="dxa" w:w="5592"/>
          </w:tcPr>
          <w:p>
            <w:pPr>
              <w:spacing w:after="20" w:before="20"/>
            </w:pPr>
            <w:r>
              <w:rPr>
                <w:b w:val="0"/>
                <w:i w:val="0"/>
                <w:sz w:val="18"/>
              </w:rPr>
              <w:t>SIGN; list what was checked; no invented concerns (LoopMart, Sunrise).</w:t>
            </w:r>
          </w:p>
        </w:tc>
      </w:tr>
      <w:tr>
        <w:tc>
          <w:tcPr>
            <w:tcW w:type="dxa" w:w="1291"/>
          </w:tcPr>
          <w:p>
            <w:pPr>
              <w:spacing w:after="20" w:before="20"/>
            </w:pPr>
            <w:r>
              <w:rPr>
                <w:b/>
                <w:i w:val="0"/>
                <w:sz w:val="18"/>
              </w:rPr>
              <w:t>Deviations only</w:t>
            </w:r>
          </w:p>
        </w:tc>
        <w:tc>
          <w:tcPr>
            <w:tcW w:type="dxa" w:w="2476"/>
          </w:tcPr>
          <w:p>
            <w:pPr>
              <w:spacing w:after="20" w:before="20"/>
            </w:pPr>
            <w:r>
              <w:rPr>
                <w:b w:val="0"/>
                <w:i w:val="0"/>
                <w:sz w:val="18"/>
              </w:rPr>
              <w:t>Playbook deviations, no blockers</w:t>
            </w:r>
          </w:p>
        </w:tc>
        <w:tc>
          <w:tcPr>
            <w:tcW w:type="dxa" w:w="5592"/>
          </w:tcPr>
          <w:p>
            <w:pPr>
              <w:spacing w:after="20" w:before="20"/>
            </w:pPr>
            <w:r>
              <w:rPr>
                <w:b w:val="0"/>
                <w:i w:val="0"/>
                <w:sz w:val="18"/>
              </w:rPr>
              <w:t>SIGN AFTER CHANGES with counter-positions and precedent.</w:t>
            </w:r>
          </w:p>
        </w:tc>
      </w:tr>
      <w:tr>
        <w:tc>
          <w:tcPr>
            <w:tcW w:type="dxa" w:w="1291"/>
          </w:tcPr>
          <w:p>
            <w:pPr>
              <w:spacing w:after="20" w:before="20"/>
            </w:pPr>
            <w:r>
              <w:rPr>
                <w:b/>
                <w:i w:val="0"/>
                <w:sz w:val="18"/>
              </w:rPr>
              <w:t>Blocker</w:t>
            </w:r>
          </w:p>
        </w:tc>
        <w:tc>
          <w:tcPr>
            <w:tcW w:type="dxa" w:w="2476"/>
          </w:tcPr>
          <w:p>
            <w:pPr>
              <w:spacing w:after="20" w:before="20"/>
            </w:pPr>
            <w:r>
              <w:rPr>
                <w:b w:val="0"/>
                <w:i w:val="0"/>
                <w:sz w:val="18"/>
              </w:rPr>
              <w:t>Register collision or critical playbook breach</w:t>
            </w:r>
          </w:p>
        </w:tc>
        <w:tc>
          <w:tcPr>
            <w:tcW w:type="dxa" w:w="5592"/>
          </w:tcPr>
          <w:p>
            <w:pPr>
              <w:spacing w:after="20" w:before="20"/>
            </w:pPr>
            <w:r>
              <w:rPr>
                <w:b w:val="0"/>
                <w:i w:val="0"/>
                <w:sz w:val="18"/>
              </w:rPr>
              <w:t>HOLD; ≤3 blockers with both clauses; routed to the lowest tier that can resolve it (Karandeep → business fix → counsel).</w:t>
            </w:r>
          </w:p>
        </w:tc>
      </w:tr>
      <w:tr>
        <w:tc>
          <w:tcPr>
            <w:tcW w:type="dxa" w:w="1291"/>
          </w:tcPr>
          <w:p>
            <w:pPr>
              <w:spacing w:after="20" w:before="20"/>
            </w:pPr>
            <w:r>
              <w:rPr>
                <w:b/>
                <w:i w:val="0"/>
                <w:sz w:val="18"/>
              </w:rPr>
              <w:t>Gate failure</w:t>
            </w:r>
          </w:p>
        </w:tc>
        <w:tc>
          <w:tcPr>
            <w:tcW w:type="dxa" w:w="2476"/>
          </w:tcPr>
          <w:p>
            <w:pPr>
              <w:spacing w:after="20" w:before="20"/>
            </w:pPr>
            <w:r>
              <w:rPr>
                <w:b w:val="0"/>
                <w:i w:val="0"/>
                <w:sz w:val="18"/>
              </w:rPr>
              <w:t>Wrong entity/template, insurance gap, missing annex</w:t>
            </w:r>
          </w:p>
        </w:tc>
        <w:tc>
          <w:tcPr>
            <w:tcW w:type="dxa" w:w="5592"/>
          </w:tcPr>
          <w:p>
            <w:pPr>
              <w:spacing w:after="20" w:before="20"/>
            </w:pPr>
            <w:r>
              <w:rPr>
                <w:b w:val="0"/>
                <w:i w:val="0"/>
                <w:sz w:val="18"/>
              </w:rPr>
              <w:t>If the main text is readable, run the deep review anyway, so one send-back covers everything; if the main agreement is missing or unreadable, HOLD and say which checks will run once it arrives (FR-17).</w:t>
            </w:r>
          </w:p>
        </w:tc>
      </w:tr>
      <w:tr>
        <w:tc>
          <w:tcPr>
            <w:tcW w:type="dxa" w:w="1291"/>
          </w:tcPr>
          <w:p>
            <w:pPr>
              <w:spacing w:after="20" w:before="20"/>
            </w:pPr>
            <w:r>
              <w:rPr>
                <w:b/>
                <w:i w:val="0"/>
                <w:sz w:val="18"/>
              </w:rPr>
              <w:t>Waiting for input</w:t>
            </w:r>
          </w:p>
        </w:tc>
        <w:tc>
          <w:tcPr>
            <w:tcW w:type="dxa" w:w="2476"/>
          </w:tcPr>
          <w:p>
            <w:pPr>
              <w:spacing w:after="20" w:before="20"/>
            </w:pPr>
            <w:r>
              <w:rPr>
                <w:b w:val="0"/>
                <w:i w:val="0"/>
                <w:sz w:val="18"/>
              </w:rPr>
              <w:t>Missing document or unconfirmed fact from notes</w:t>
            </w:r>
          </w:p>
        </w:tc>
        <w:tc>
          <w:tcPr>
            <w:tcW w:type="dxa" w:w="5592"/>
          </w:tcPr>
          <w:p>
            <w:pPr>
              <w:spacing w:after="20" w:before="20"/>
            </w:pPr>
            <w:r>
              <w:rPr>
                <w:b w:val="0"/>
                <w:i w:val="0"/>
                <w:sz w:val="18"/>
              </w:rPr>
              <w:t>Brief issued anyway; HOLD with each missing item and its owner; queue "waiting for input", clock paused; never wait silently.</w:t>
            </w:r>
          </w:p>
        </w:tc>
      </w:tr>
      <w:tr>
        <w:tc>
          <w:tcPr>
            <w:tcW w:type="dxa" w:w="1291"/>
          </w:tcPr>
          <w:p>
            <w:pPr>
              <w:spacing w:after="20" w:before="20"/>
            </w:pPr>
            <w:r>
              <w:rPr>
                <w:b/>
                <w:i w:val="0"/>
                <w:sz w:val="18"/>
              </w:rPr>
              <w:t>New version</w:t>
            </w:r>
          </w:p>
        </w:tc>
        <w:tc>
          <w:tcPr>
            <w:tcW w:type="dxa" w:w="2476"/>
          </w:tcPr>
          <w:p>
            <w:pPr>
              <w:spacing w:after="20" w:before="20"/>
            </w:pPr>
            <w:r>
              <w:rPr>
                <w:b w:val="0"/>
                <w:i w:val="0"/>
                <w:sz w:val="18"/>
              </w:rPr>
              <w:t>New upload, or Sync</w:t>
            </w:r>
          </w:p>
        </w:tc>
        <w:tc>
          <w:tcPr>
            <w:tcW w:type="dxa" w:w="5592"/>
          </w:tcPr>
          <w:p>
            <w:pPr>
              <w:spacing w:after="20" w:before="20"/>
            </w:pPr>
            <w:r>
              <w:rPr>
                <w:b w:val="0"/>
                <w:i w:val="0"/>
                <w:sz w:val="18"/>
              </w:rPr>
              <w:t>Re-run all checks; brief v(n+1) as New / Still open / Resolved; open findings always repeated; late-finding detection (FR-18).</w:t>
            </w:r>
          </w:p>
        </w:tc>
      </w:tr>
      <w:tr>
        <w:tc>
          <w:tcPr>
            <w:tcW w:type="dxa" w:w="1291"/>
          </w:tcPr>
          <w:p>
            <w:pPr>
              <w:spacing w:after="20" w:before="20"/>
            </w:pPr>
            <w:r>
              <w:rPr>
                <w:b/>
                <w:i w:val="0"/>
                <w:sz w:val="18"/>
              </w:rPr>
              <w:t>Compliance alert</w:t>
            </w:r>
          </w:p>
        </w:tc>
        <w:tc>
          <w:tcPr>
            <w:tcW w:type="dxa" w:w="2476"/>
          </w:tcPr>
          <w:p>
            <w:pPr>
              <w:spacing w:after="20" w:before="20"/>
            </w:pPr>
            <w:r>
              <w:rPr>
                <w:b w:val="0"/>
                <w:i w:val="0"/>
                <w:sz w:val="18"/>
              </w:rPr>
              <w:t>Confirmed compliance event</w:t>
            </w:r>
          </w:p>
        </w:tc>
        <w:tc>
          <w:tcPr>
            <w:tcW w:type="dxa" w:w="5592"/>
          </w:tcPr>
          <w:p>
            <w:pPr>
              <w:spacing w:after="20" w:before="20"/>
            </w:pPr>
            <w:r>
              <w:rPr>
                <w:b w:val="0"/>
                <w:i w:val="0"/>
                <w:sz w:val="18"/>
              </w:rPr>
              <w:t>Analysis completes; alert pinned; no SIGN while open; no workaround suggestions or external notification (FR-21).</w:t>
            </w:r>
          </w:p>
        </w:tc>
      </w:tr>
      <w:tr>
        <w:tc>
          <w:tcPr>
            <w:tcW w:type="dxa" w:w="1291"/>
          </w:tcPr>
          <w:p>
            <w:pPr>
              <w:spacing w:after="20" w:before="20"/>
            </w:pPr>
            <w:r>
              <w:rPr>
                <w:b/>
                <w:i w:val="0"/>
                <w:sz w:val="18"/>
              </w:rPr>
              <w:t>Insufficient / illegible input</w:t>
            </w:r>
          </w:p>
        </w:tc>
        <w:tc>
          <w:tcPr>
            <w:tcW w:type="dxa" w:w="2476"/>
          </w:tcPr>
          <w:p>
            <w:pPr>
              <w:spacing w:after="20" w:before="20"/>
            </w:pPr>
            <w:r>
              <w:rPr>
                <w:b w:val="0"/>
                <w:i w:val="0"/>
                <w:sz w:val="18"/>
              </w:rPr>
              <w:t>Missing pages, OCR gaps</w:t>
            </w:r>
          </w:p>
        </w:tc>
        <w:tc>
          <w:tcPr>
            <w:tcW w:type="dxa" w:w="5592"/>
          </w:tcPr>
          <w:p>
            <w:pPr>
              <w:spacing w:after="20" w:before="20"/>
            </w:pPr>
            <w:r>
              <w:rPr>
                <w:b w:val="0"/>
                <w:i w:val="0"/>
                <w:sz w:val="18"/>
              </w:rPr>
              <w:t>Say exactly what couldn't be read; never infer text; never "clean".</w:t>
            </w:r>
          </w:p>
        </w:tc>
      </w:tr>
      <w:tr>
        <w:tc>
          <w:tcPr>
            <w:tcW w:type="dxa" w:w="1291"/>
          </w:tcPr>
          <w:p>
            <w:pPr>
              <w:spacing w:after="20" w:before="20"/>
            </w:pPr>
            <w:r>
              <w:rPr>
                <w:b/>
                <w:i w:val="0"/>
                <w:sz w:val="18"/>
              </w:rPr>
              <w:t>Low confidence</w:t>
            </w:r>
          </w:p>
        </w:tc>
        <w:tc>
          <w:tcPr>
            <w:tcW w:type="dxa" w:w="2476"/>
          </w:tcPr>
          <w:p>
            <w:pPr>
              <w:spacing w:after="20" w:before="20"/>
            </w:pPr>
            <w:r>
              <w:rPr>
                <w:b w:val="0"/>
                <w:i w:val="0"/>
                <w:sz w:val="18"/>
              </w:rPr>
              <w:t>Interpretive question (e.g. "substantially similar services")</w:t>
            </w:r>
          </w:p>
        </w:tc>
        <w:tc>
          <w:tcPr>
            <w:tcW w:type="dxa" w:w="5592"/>
          </w:tcPr>
          <w:p>
            <w:pPr>
              <w:spacing w:after="20" w:before="20"/>
            </w:pPr>
            <w:r>
              <w:rPr>
                <w:b w:val="0"/>
                <w:i w:val="0"/>
                <w:sz w:val="18"/>
              </w:rPr>
              <w:t>Both readings and clauses, labelled "needs judgment/counsel"; no legal conclusion.</w:t>
            </w:r>
          </w:p>
        </w:tc>
      </w:tr>
      <w:tr>
        <w:tc>
          <w:tcPr>
            <w:tcW w:type="dxa" w:w="1291"/>
          </w:tcPr>
          <w:p>
            <w:pPr>
              <w:spacing w:after="20" w:before="20"/>
            </w:pPr>
            <w:r>
              <w:rPr>
                <w:b/>
                <w:i w:val="0"/>
                <w:sz w:val="18"/>
              </w:rPr>
              <w:t>Unverified register entry</w:t>
            </w:r>
          </w:p>
        </w:tc>
        <w:tc>
          <w:tcPr>
            <w:tcW w:type="dxa" w:w="2476"/>
          </w:tcPr>
          <w:p>
            <w:pPr>
              <w:spacing w:after="20" w:before="20"/>
            </w:pPr>
            <w:r>
              <w:rPr>
                <w:b w:val="0"/>
                <w:i w:val="0"/>
                <w:sz w:val="18"/>
              </w:rPr>
              <w:t>Finding relies on an entry not yet verified</w:t>
            </w:r>
          </w:p>
        </w:tc>
        <w:tc>
          <w:tcPr>
            <w:tcW w:type="dxa" w:w="5592"/>
          </w:tcPr>
          <w:p>
            <w:pPr>
              <w:spacing w:after="20" w:before="20"/>
            </w:pPr>
            <w:r>
              <w:rPr>
                <w:b w:val="0"/>
                <w:i w:val="0"/>
                <w:sz w:val="18"/>
              </w:rPr>
              <w:t>Raised anyway, labelled, with a link to verify.</w:t>
            </w:r>
          </w:p>
        </w:tc>
      </w:tr>
      <w:tr>
        <w:tc>
          <w:tcPr>
            <w:tcW w:type="dxa" w:w="1291"/>
          </w:tcPr>
          <w:p>
            <w:pPr>
              <w:spacing w:after="20" w:before="20"/>
            </w:pPr>
            <w:r>
              <w:rPr>
                <w:b/>
                <w:i w:val="0"/>
                <w:sz w:val="18"/>
              </w:rPr>
              <w:t>Expired obligation</w:t>
            </w:r>
          </w:p>
        </w:tc>
        <w:tc>
          <w:tcPr>
            <w:tcW w:type="dxa" w:w="2476"/>
          </w:tcPr>
          <w:p>
            <w:pPr>
              <w:spacing w:after="20" w:before="20"/>
            </w:pPr>
            <w:r>
              <w:rPr>
                <w:b w:val="0"/>
                <w:i w:val="0"/>
                <w:sz w:val="18"/>
              </w:rPr>
              <w:t>Expired entry that would otherwise match the deal</w:t>
            </w:r>
          </w:p>
        </w:tc>
        <w:tc>
          <w:tcPr>
            <w:tcW w:type="dxa" w:w="5592"/>
          </w:tcPr>
          <w:p>
            <w:pPr>
              <w:spacing w:after="20" w:before="20"/>
            </w:pPr>
            <w:r>
              <w:rPr>
                <w:b w:val="0"/>
                <w:i w:val="0"/>
                <w:sz w:val="18"/>
              </w:rPr>
              <w:t>Never a finding; listed as "checked, expired" (FR-25).</w:t>
            </w:r>
          </w:p>
        </w:tc>
      </w:tr>
      <w:tr>
        <w:tc>
          <w:tcPr>
            <w:tcW w:type="dxa" w:w="1291"/>
          </w:tcPr>
          <w:p>
            <w:pPr>
              <w:spacing w:after="20" w:before="20"/>
            </w:pPr>
            <w:r>
              <w:rPr>
                <w:b/>
                <w:i w:val="0"/>
                <w:sz w:val="18"/>
              </w:rPr>
              <w:t>Seller answer may be stale</w:t>
            </w:r>
          </w:p>
        </w:tc>
        <w:tc>
          <w:tcPr>
            <w:tcW w:type="dxa" w:w="2476"/>
          </w:tcPr>
          <w:p>
            <w:pPr>
              <w:spacing w:after="20" w:before="20"/>
            </w:pPr>
            <w:r>
              <w:rPr>
                <w:b w:val="0"/>
                <w:i w:val="0"/>
                <w:sz w:val="18"/>
              </w:rPr>
              <w:t>New brief version or register change after the seller's check</w:t>
            </w:r>
          </w:p>
        </w:tc>
        <w:tc>
          <w:tcPr>
            <w:tcW w:type="dxa" w:w="5592"/>
          </w:tcPr>
          <w:p>
            <w:pPr>
              <w:spacing w:after="20" w:before="20"/>
            </w:pPr>
            <w:r>
              <w:rPr>
                <w:b w:val="0"/>
                <w:i w:val="0"/>
                <w:sz w:val="18"/>
              </w:rPr>
              <w:t>Re-check banner; past answers never silently changed.</w:t>
            </w:r>
          </w:p>
        </w:tc>
      </w:tr>
      <w:tr>
        <w:tc>
          <w:tcPr>
            <w:tcW w:type="dxa" w:w="1291"/>
          </w:tcPr>
          <w:p>
            <w:pPr>
              <w:spacing w:after="20" w:before="20"/>
            </w:pPr>
            <w:r>
              <w:rPr>
                <w:b/>
                <w:i w:val="0"/>
                <w:sz w:val="18"/>
              </w:rPr>
              <w:t>System failure</w:t>
            </w:r>
          </w:p>
        </w:tc>
        <w:tc>
          <w:tcPr>
            <w:tcW w:type="dxa" w:w="2476"/>
          </w:tcPr>
          <w:p>
            <w:pPr>
              <w:spacing w:after="20" w:before="20"/>
            </w:pPr>
            <w:r>
              <w:rPr>
                <w:b w:val="0"/>
                <w:i w:val="0"/>
                <w:sz w:val="18"/>
              </w:rPr>
              <w:t>Model/API error or timeout</w:t>
            </w:r>
          </w:p>
        </w:tc>
        <w:tc>
          <w:tcPr>
            <w:tcW w:type="dxa" w:w="5592"/>
          </w:tcPr>
          <w:p>
            <w:pPr>
              <w:spacing w:after="20" w:before="20"/>
            </w:pPr>
            <w:r>
              <w:rPr>
                <w:b w:val="0"/>
                <w:i w:val="0"/>
                <w:sz w:val="18"/>
              </w:rPr>
              <w:t>"Couldn't complete: review manually", plus what was completed. Never a clean verdict.</w:t>
            </w:r>
          </w:p>
        </w:tc>
      </w:tr>
    </w:tbl>
    <w:p>
      <w:pPr>
        <w:spacing w:after="40"/>
      </w:pPr>
    </w:p>
    <w:p>
      <w:pPr>
        <w:pStyle w:val="Heading2"/>
      </w:pPr>
      <w:r>
        <w:rPr>
          <w:b w:val="0"/>
          <w:i w:val="0"/>
        </w:rPr>
        <w:t>9.3 End-to-End Decision Flow</w:t>
      </w:r>
    </w:p>
    <w:p>
      <w:r>
        <w:rPr>
          <w:b w:val="0"/>
          <w:i w:val="0"/>
        </w:rPr>
        <w:t>The flow is shown in the diagram (§9.4) and walked through on a real deal below. In short: upload → intake and gate rules → NDA fast lane or full review (conflicts, playbook with similar past clauses, deal bundle and notes) → brief → Karandeep reacts and records a decision → new inputs re-check automatically into a new brief version → on Sign, the contract is stored in the register (FR-24), and sellers on affected deals see a re-check banner.</w:t>
      </w:r>
    </w:p>
    <w:p>
      <w:pPr>
        <w:pStyle w:val="Heading2"/>
      </w:pPr>
      <w:r>
        <w:rPr>
          <w:b w:val="0"/>
          <w:i w:val="0"/>
        </w:rPr>
        <w:t>9.3a Worked Example: a new contract from upload to decision</w:t>
      </w:r>
    </w:p>
    <w:p>
      <w:r>
        <w:rPr>
          <w:b w:val="0"/>
          <w:i/>
        </w:rPr>
        <w:t>Illustrative: the Rheinwerk draft arrives (deal owner Bhavin, client deadline 15 Oct).</w:t>
      </w:r>
    </w:p>
    <w:p>
      <w:pPr>
        <w:pStyle w:val="ListParagraph"/>
        <w:spacing w:after="40"/>
      </w:pPr>
      <w:r>
        <w:rPr>
          <w:b w:val="0"/>
          <w:i w:val="0"/>
        </w:rPr>
        <w:t xml:space="preserve">1. </w:t>
      </w:r>
      <w:r>
        <w:rPr>
          <w:b/>
          <w:i w:val="0"/>
        </w:rPr>
        <w:t>Upload</w:t>
      </w:r>
      <w:r>
        <w:rPr>
          <w:b w:val="0"/>
          <w:i w:val="0"/>
        </w:rPr>
        <w:t xml:space="preserve"> (≈10 seconds): Karandeep or Bhavin drops the draft into Yours Legally,</w:t>
      </w:r>
    </w:p>
    <w:p>
      <w:pPr>
        <w:pStyle w:val="ListParagraph"/>
        <w:spacing w:after="40"/>
      </w:pPr>
      <w:r>
        <w:rPr>
          <w:b w:val="0"/>
          <w:i w:val="0"/>
        </w:rPr>
        <w:t xml:space="preserve">2. </w:t>
      </w:r>
      <w:r>
        <w:rPr>
          <w:b/>
          <w:i w:val="0"/>
        </w:rPr>
        <w:t>Identify</w:t>
      </w:r>
      <w:r>
        <w:rPr>
          <w:b w:val="0"/>
          <w:i w:val="0"/>
        </w:rPr>
        <w:t xml:space="preserve"> (system, seconds): Services Agreement · Rheinwerk Analytics GmbH (Germany) · AtliQ Technologies Pvt Ltd as supplier · German law · €88k · references Annex 3 (data-processing agreement).</w:t>
      </w:r>
    </w:p>
    <w:p>
      <w:pPr>
        <w:pStyle w:val="ListParagraph"/>
        <w:spacing w:after="40"/>
      </w:pPr>
      <w:r>
        <w:rPr>
          <w:b w:val="0"/>
          <w:i w:val="0"/>
        </w:rPr>
        <w:t xml:space="preserve">3. </w:t>
      </w:r>
      <w:r>
        <w:rPr>
          <w:b/>
          <w:i w:val="0"/>
        </w:rPr>
        <w:t>Link to deal</w:t>
      </w:r>
      <w:r>
        <w:rPr>
          <w:b w:val="0"/>
          <w:i w:val="0"/>
        </w:rPr>
        <w:t xml:space="preserve"> (system): exactly one open Rheinwerk deal → linked automatically and shown: "Linked to </w:t>
      </w:r>
      <w:r>
        <w:rPr>
          <w:b w:val="0"/>
          <w:i/>
        </w:rPr>
        <w:t>Rheinwerk – Pipeline modernisation</w:t>
      </w:r>
      <w:r>
        <w:rPr>
          <w:b w:val="0"/>
          <w:i w:val="0"/>
        </w:rPr>
        <w:t xml:space="preserve"> (only open deal with this client) · Change." No question asked; a question appears only when the match is ambiguous.</w:t>
      </w:r>
    </w:p>
    <w:p>
      <w:pPr>
        <w:pStyle w:val="ListParagraph"/>
        <w:spacing w:after="40"/>
      </w:pPr>
      <w:r>
        <w:rPr>
          <w:b w:val="0"/>
          <w:i w:val="0"/>
        </w:rPr>
        <w:t xml:space="preserve">4. </w:t>
      </w:r>
      <w:r>
        <w:rPr>
          <w:b/>
          <w:i w:val="0"/>
        </w:rPr>
        <w:t>Gather context</w:t>
      </w:r>
      <w:r>
        <w:rPr>
          <w:b w:val="0"/>
          <w:i w:val="0"/>
        </w:rPr>
        <w:t xml:space="preserve"> (system): register entries relevant to the scope (Northwind's IP clause covering PipeKit; no restrictions covering Germany), playbook positions, linked documents (Kriti's subcontract names Rheinwerk as end client), notes attached to the deal.</w:t>
      </w:r>
    </w:p>
    <w:p>
      <w:pPr>
        <w:pStyle w:val="ListParagraph"/>
        <w:spacing w:after="40"/>
      </w:pPr>
      <w:r>
        <w:rPr>
          <w:b w:val="0"/>
          <w:i w:val="0"/>
        </w:rPr>
        <w:t xml:space="preserve">5. </w:t>
      </w:r>
      <w:r>
        <w:rPr>
          <w:b/>
          <w:i w:val="0"/>
        </w:rPr>
        <w:t>Gate checks</w:t>
      </w:r>
      <w:r>
        <w:rPr>
          <w:b w:val="0"/>
          <w:i w:val="0"/>
        </w:rPr>
        <w:t xml:space="preserve"> (system): entity ✓ · payment ✓ · delay penalties ✓ (match standard) · Annex 3 ✗ referenced but not uploaded. The main text is present, so the deep review still runs.</w:t>
      </w:r>
    </w:p>
    <w:p>
      <w:pPr>
        <w:pStyle w:val="ListParagraph"/>
        <w:spacing w:after="40"/>
      </w:pPr>
      <w:r>
        <w:rPr>
          <w:b w:val="0"/>
          <w:i w:val="0"/>
        </w:rPr>
        <w:t xml:space="preserve">6. </w:t>
      </w:r>
      <w:r>
        <w:rPr>
          <w:b/>
          <w:i w:val="0"/>
        </w:rPr>
        <w:t>Deep review</w:t>
      </w:r>
      <w:r>
        <w:rPr>
          <w:b w:val="0"/>
          <w:i w:val="0"/>
        </w:rPr>
        <w:t xml:space="preserve"> (system, minutes): PipeKit ownership conflict (Northwind §9.2 ↔ Rheinwerk §6.3); data-processing annex missing; Kriti's subcontract lacks data-protection terms and IP assignment.</w:t>
      </w:r>
    </w:p>
    <w:p>
      <w:pPr>
        <w:pStyle w:val="ListParagraph"/>
        <w:spacing w:after="40"/>
      </w:pPr>
      <w:r>
        <w:rPr>
          <w:b w:val="0"/>
          <w:i w:val="0"/>
        </w:rPr>
        <w:t xml:space="preserve">7. </w:t>
      </w:r>
      <w:r>
        <w:rPr>
          <w:b/>
          <w:i w:val="0"/>
        </w:rPr>
        <w:t>The brief</w:t>
      </w:r>
      <w:r>
        <w:rPr>
          <w:b w:val="0"/>
          <w:i w:val="0"/>
        </w:rPr>
        <w:t>: every input the system needs is a button or upload slot inside it:</w:t>
      </w:r>
    </w:p>
    <w:p>
      <w:pPr>
        <w:spacing w:after="80"/>
        <w:shd w:val="clear" w:color="auto" w:fill="F2F2F2"/>
      </w:pPr>
      <w:r>
        <w:rPr>
          <w:rFonts w:ascii="Consolas" w:hAnsi="Consolas"/>
          <w:sz w:val="16"/>
        </w:rPr>
        <w:t>HOLD: 1 blocker, 1 missing document                        Due in 17 days</w:t>
      </w:r>
      <w:r>
        <w:br/>
      </w:r>
      <w:r>
        <w:rPr>
          <w:rFonts w:ascii="Consolas" w:hAnsi="Consolas"/>
          <w:sz w:val="16"/>
        </w:rPr>
      </w:r>
      <w:r>
        <w:br/>
      </w:r>
      <w:r>
        <w:rPr>
          <w:rFonts w:ascii="Consolas" w:hAnsi="Consolas"/>
          <w:sz w:val="16"/>
        </w:rPr>
        <w:t>🔴 PipeKit may belong to Northwind (Northwind §9.2 ↔ Rheinwerk §6.3)</w:t>
      </w:r>
      <w:r>
        <w:br/>
      </w:r>
      <w:r>
        <w:rPr>
          <w:rFonts w:ascii="Consolas" w:hAnsi="Consolas"/>
          <w:sz w:val="16"/>
        </w:rPr>
        <w:t xml:space="preserve">   Needs your judgment, possibly counsel     [✓ Agree] [✗ Disagree] [⇅]</w:t>
      </w:r>
      <w:r>
        <w:br/>
      </w:r>
      <w:r>
        <w:rPr>
          <w:rFonts w:ascii="Consolas" w:hAnsi="Consolas"/>
          <w:sz w:val="16"/>
        </w:rPr>
      </w:r>
      <w:r>
        <w:br/>
      </w:r>
      <w:r>
        <w:rPr>
          <w:rFonts w:ascii="Consolas" w:hAnsi="Consolas"/>
          <w:sz w:val="16"/>
        </w:rPr>
        <w:t>📎 Missing: Annex 3 data-processing agreement (owner: Bhavin)</w:t>
      </w:r>
      <w:r>
        <w:br/>
      </w:r>
      <w:r>
        <w:rPr>
          <w:rFonts w:ascii="Consolas" w:hAnsi="Consolas"/>
          <w:sz w:val="16"/>
        </w:rPr>
        <w:t xml:space="preserve">   [Upload it here]   [It's already in the contract → show page]</w:t>
      </w:r>
      <w:r>
        <w:br/>
      </w:r>
      <w:r>
        <w:rPr>
          <w:rFonts w:ascii="Consolas" w:hAnsi="Consolas"/>
          <w:sz w:val="16"/>
        </w:rPr>
      </w:r>
      <w:r>
        <w:br/>
      </w:r>
      <w:r>
        <w:rPr>
          <w:rFonts w:ascii="Consolas" w:hAnsi="Consolas"/>
          <w:sz w:val="16"/>
        </w:rPr>
        <w:t>❓ Please confirm (from deal notes): "Pranav plans to reuse PipeKit"</w:t>
      </w:r>
      <w:r>
        <w:br/>
      </w:r>
      <w:r>
        <w:rPr>
          <w:rFonts w:ascii="Consolas" w:hAnsi="Consolas"/>
          <w:sz w:val="16"/>
        </w:rPr>
        <w:t xml:space="preserve">   [Confirm] [Not true] [Edit]</w:t>
      </w:r>
      <w:r>
        <w:br/>
      </w:r>
      <w:r>
        <w:rPr>
          <w:rFonts w:ascii="Consolas" w:hAnsi="Consolas"/>
          <w:sz w:val="16"/>
        </w:rPr>
      </w:r>
      <w:r>
        <w:br/>
      </w:r>
      <w:r>
        <w:rPr>
          <w:rFonts w:ascii="Consolas" w:hAnsi="Consolas"/>
          <w:sz w:val="16"/>
        </w:rPr>
        <w:t>✓ Fine: entity, law, payment, delay penalties, liability cap, acceptance</w:t>
      </w:r>
      <w:r>
        <w:br/>
      </w:r>
      <w:r>
        <w:rPr>
          <w:rFonts w:ascii="Consolas" w:hAnsi="Consolas"/>
          <w:sz w:val="16"/>
        </w:rPr>
      </w:r>
      <w:r>
        <w:br/>
      </w:r>
      <w:r>
        <w:rPr>
          <w:rFonts w:ascii="Consolas" w:hAnsi="Consolas"/>
          <w:sz w:val="16"/>
        </w:rPr>
        <w:t>What's your call?</w:t>
      </w:r>
      <w:r>
        <w:br/>
      </w:r>
      <w:r>
        <w:rPr>
          <w:rFonts w:ascii="Consolas" w:hAnsi="Consolas"/>
          <w:sz w:val="16"/>
        </w:rPr>
        <w:t>[Sign] [Sign after changes] [Hold] [Send back] [Reject] [Escalate to counsel]</w:t>
      </w:r>
      <w:r>
        <w:br/>
      </w:r>
      <w:r>
        <w:rPr>
          <w:rFonts w:ascii="Consolas" w:hAnsi="Consolas"/>
          <w:sz w:val="16"/>
        </w:rPr>
        <w:t>This simply records where things stand, so Bhavin and the queue stay in step with</w:t>
      </w:r>
      <w:r>
        <w:br/>
      </w:r>
      <w:r>
        <w:rPr>
          <w:rFonts w:ascii="Consolas" w:hAnsi="Consolas"/>
          <w:sz w:val="16"/>
        </w:rPr>
        <w:t>you. Nothing is sent, signed or shared on your behalf; the replies and the</w:t>
      </w:r>
      <w:r>
        <w:br/>
      </w:r>
      <w:r>
        <w:rPr>
          <w:rFonts w:ascii="Consolas" w:hAnsi="Consolas"/>
          <w:sz w:val="16"/>
        </w:rPr>
        <w:t>conversations with Rheinwerk remain yours.</w:t>
      </w:r>
    </w:p>
    <w:p>
      <w:pPr>
        <w:pStyle w:val="ListParagraph"/>
        <w:spacing w:after="40"/>
      </w:pPr>
      <w:r>
        <w:rPr>
          <w:b w:val="0"/>
          <w:i w:val="0"/>
        </w:rPr>
        <w:t xml:space="preserve">8. </w:t>
      </w:r>
      <w:r>
        <w:rPr>
          <w:b/>
          <w:i w:val="0"/>
        </w:rPr>
        <w:t>Decide</w:t>
      </w:r>
      <w:r>
        <w:rPr>
          <w:b w:val="0"/>
          <w:i w:val="0"/>
        </w:rPr>
        <w:t xml:space="preserve">: Karandeep presses </w:t>
      </w:r>
      <w:r>
        <w:rPr>
          <w:b/>
          <w:i w:val="0"/>
        </w:rPr>
        <w:t>Hold</w:t>
      </w:r>
      <w:r>
        <w:rPr>
          <w:b w:val="0"/>
          <w:i w:val="0"/>
        </w:rPr>
        <w:t>. The queue shows "waiting for input: Annex 3 (Bhavin) · due in 17 days".</w:t>
      </w:r>
    </w:p>
    <w:p>
      <w:pPr>
        <w:pStyle w:val="ListParagraph"/>
        <w:spacing w:after="40"/>
      </w:pPr>
      <w:r>
        <w:rPr>
          <w:b w:val="0"/>
          <w:i w:val="0"/>
        </w:rPr>
        <w:t xml:space="preserve">9. </w:t>
      </w:r>
      <w:r>
        <w:rPr>
          <w:b/>
          <w:i w:val="0"/>
        </w:rPr>
        <w:t>New input → automatic re-check</w:t>
      </w:r>
      <w:r>
        <w:rPr>
          <w:b w:val="0"/>
          <w:i w:val="0"/>
        </w:rPr>
        <w:t>: Bhavin uploads Annex 3 to the deal, which re-checks it. Brief v2: Resolved: annex on file · New: findings from the annex review · Still open: PipeKit. Bhavin's own deal check shows the re-check banner.</w:t>
      </w:r>
    </w:p>
    <w:p>
      <w:pPr>
        <w:pStyle w:val="ListParagraph"/>
        <w:spacing w:after="40"/>
      </w:pPr>
      <w:r>
        <w:rPr>
          <w:b w:val="0"/>
          <w:i w:val="0"/>
        </w:rPr>
        <w:t xml:space="preserve">10. </w:t>
      </w:r>
      <w:r>
        <w:rPr>
          <w:b/>
          <w:i w:val="0"/>
        </w:rPr>
        <w:t>Close</w:t>
      </w:r>
      <w:r>
        <w:rPr>
          <w:b w:val="0"/>
          <w:i w:val="0"/>
        </w:rPr>
        <w:t>: Karandeep decides from v2 (e.g. Escalate to counsel, with the counsel pack prepared for him to send). When the contract is signed, he stores it in the register in one action; its commitments are checked against every later deal from then on, labelled until he verifies them.</w:t>
      </w:r>
    </w:p>
    <w:p>
      <w:r>
        <w:rPr>
          <w:b/>
          <w:i w:val="0"/>
        </w:rPr>
        <w:t>His effort for a clean contract:</w:t>
      </w:r>
      <w:r>
        <w:rPr>
          <w:b w:val="0"/>
          <w:i w:val="0"/>
        </w:rPr>
        <w:t xml:space="preserve"> one upload and one decision. </w:t>
      </w:r>
      <w:r>
        <w:rPr>
          <w:b/>
          <w:i w:val="0"/>
        </w:rPr>
        <w:t>For one with gaps:</w:t>
      </w:r>
      <w:r>
        <w:rPr>
          <w:b w:val="0"/>
          <w:i w:val="0"/>
        </w:rPr>
        <w:t xml:space="preserve"> add an upload or a few confirm taps, all inside the brief.</w:t>
      </w:r>
    </w:p>
    <w:p>
      <w:pPr>
        <w:pStyle w:val="Heading2"/>
      </w:pPr>
      <w:r>
        <w:rPr>
          <w:b w:val="0"/>
          <w:i w:val="0"/>
        </w:rPr>
        <w:t>9.4 Flow Diagram</w:t>
      </w:r>
    </w:p>
    <w:p>
      <w:pPr>
        <w:jc w:val="center"/>
      </w:pPr>
      <w:r>
        <w:drawing>
          <wp:inline xmlns:a="http://schemas.openxmlformats.org/drawingml/2006/main" xmlns:pic="http://schemas.openxmlformats.org/drawingml/2006/picture">
            <wp:extent cx="4206240" cy="7385234"/>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4206240" cy="7385234"/>
                    </a:xfrm>
                    <a:prstGeom prst="rect"/>
                  </pic:spPr>
                </pic:pic>
              </a:graphicData>
            </a:graphic>
          </wp:inline>
        </w:drawing>
      </w:r>
    </w:p>
    <w:p>
      <w:pPr>
        <w:pStyle w:val="Heading1"/>
      </w:pPr>
      <w:r>
        <w:rPr>
          <w:b w:val="0"/>
          <w:i w:val="0"/>
        </w:rPr>
        <w:t>10. Guardrails and Failure Modes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09"/>
        <w:gridCol w:w="2268"/>
        <w:gridCol w:w="4673"/>
        <w:gridCol w:w="1209"/>
      </w:tblGrid>
      <w:tr>
        <w:trPr>
          <w:tblHeader/>
        </w:trPr>
        <w:tc>
          <w:tcPr>
            <w:tcW w:type="dxa" w:w="1209"/>
            <w:shd w:val="clear" w:color="auto" w:fill="DCE6F2"/>
          </w:tcPr>
          <w:p>
            <w:pPr>
              <w:spacing w:after="20" w:before="20"/>
            </w:pPr>
            <w:r>
              <w:rPr>
                <w:b/>
                <w:i w:val="0"/>
                <w:sz w:val="18"/>
              </w:rPr>
              <w:t>Failure mode</w:t>
            </w:r>
          </w:p>
        </w:tc>
        <w:tc>
          <w:tcPr>
            <w:tcW w:type="dxa" w:w="2268"/>
            <w:shd w:val="clear" w:color="auto" w:fill="DCE6F2"/>
          </w:tcPr>
          <w:p>
            <w:pPr>
              <w:spacing w:after="20" w:before="20"/>
            </w:pPr>
            <w:r>
              <w:rPr>
                <w:b/>
                <w:i w:val="0"/>
                <w:sz w:val="18"/>
              </w:rPr>
              <w:t>What goes wrong</w:t>
            </w:r>
          </w:p>
        </w:tc>
        <w:tc>
          <w:tcPr>
            <w:tcW w:type="dxa" w:w="4673"/>
            <w:shd w:val="clear" w:color="auto" w:fill="DCE6F2"/>
          </w:tcPr>
          <w:p>
            <w:pPr>
              <w:spacing w:after="20" w:before="20"/>
            </w:pPr>
            <w:r>
              <w:rPr>
                <w:b/>
                <w:i w:val="0"/>
                <w:sz w:val="18"/>
              </w:rPr>
              <w:t>Required guardrail</w:t>
            </w:r>
          </w:p>
        </w:tc>
        <w:tc>
          <w:tcPr>
            <w:tcW w:type="dxa" w:w="1209"/>
            <w:shd w:val="clear" w:color="auto" w:fill="DCE6F2"/>
          </w:tcPr>
          <w:p>
            <w:pPr>
              <w:spacing w:after="20" w:before="20"/>
            </w:pPr>
            <w:r>
              <w:rPr>
                <w:b/>
                <w:i w:val="0"/>
                <w:sz w:val="18"/>
              </w:rPr>
              <w:t>Owner</w:t>
            </w:r>
          </w:p>
        </w:tc>
      </w:tr>
      <w:tr>
        <w:tc>
          <w:tcPr>
            <w:tcW w:type="dxa" w:w="1209"/>
          </w:tcPr>
          <w:p>
            <w:pPr>
              <w:spacing w:after="20" w:before="20"/>
            </w:pPr>
            <w:r>
              <w:rPr>
                <w:b/>
                <w:i w:val="0"/>
                <w:sz w:val="18"/>
              </w:rPr>
              <w:t>Missed conflict (false negative)</w:t>
            </w:r>
          </w:p>
        </w:tc>
        <w:tc>
          <w:tcPr>
            <w:tcW w:type="dxa" w:w="2268"/>
          </w:tcPr>
          <w:p>
            <w:pPr>
              <w:spacing w:after="20" w:before="20"/>
            </w:pPr>
            <w:r>
              <w:rPr>
                <w:b w:val="0"/>
                <w:i w:val="0"/>
                <w:sz w:val="18"/>
              </w:rPr>
              <w:t>A contract colliding with a live commitment is marked clean (the Gulf Crown risk)</w:t>
            </w:r>
          </w:p>
        </w:tc>
        <w:tc>
          <w:tcPr>
            <w:tcW w:type="dxa" w:w="4673"/>
          </w:tcPr>
          <w:p>
            <w:pPr>
              <w:spacing w:after="20" w:before="20"/>
            </w:pPr>
            <w:r>
              <w:rPr>
                <w:b w:val="0"/>
                <w:i w:val="0"/>
                <w:sz w:val="18"/>
              </w:rPr>
              <w:t xml:space="preserve">Register-first design; every live entry checked, </w:t>
            </w:r>
            <w:r>
              <w:rPr>
                <w:b/>
                <w:i w:val="0"/>
                <w:sz w:val="18"/>
              </w:rPr>
              <w:t>including unverified ones (labelled)</w:t>
            </w:r>
            <w:r>
              <w:rPr>
                <w:b w:val="0"/>
                <w:i w:val="0"/>
                <w:sz w:val="18"/>
              </w:rPr>
              <w:t>; recall eval ≥95% on known conflicts before launch; "what wasn't seen" always shown</w:t>
            </w:r>
          </w:p>
        </w:tc>
        <w:tc>
          <w:tcPr>
            <w:tcW w:type="dxa" w:w="1209"/>
          </w:tcPr>
          <w:p>
            <w:pPr>
              <w:spacing w:after="20" w:before="20"/>
            </w:pPr>
            <w:r>
              <w:rPr>
                <w:b w:val="0"/>
                <w:i w:val="0"/>
                <w:sz w:val="18"/>
              </w:rPr>
              <w:t>Product + Eng</w:t>
            </w:r>
          </w:p>
        </w:tc>
      </w:tr>
      <w:tr>
        <w:tc>
          <w:tcPr>
            <w:tcW w:type="dxa" w:w="1209"/>
          </w:tcPr>
          <w:p>
            <w:pPr>
              <w:spacing w:after="20" w:before="20"/>
            </w:pPr>
            <w:r>
              <w:rPr>
                <w:b/>
                <w:i w:val="0"/>
                <w:sz w:val="18"/>
              </w:rPr>
              <w:t>Crying wolf (false positive)</w:t>
            </w:r>
          </w:p>
        </w:tc>
        <w:tc>
          <w:tcPr>
            <w:tcW w:type="dxa" w:w="2268"/>
          </w:tcPr>
          <w:p>
            <w:pPr>
              <w:spacing w:after="20" w:before="20"/>
            </w:pPr>
            <w:r>
              <w:rPr>
                <w:b w:val="0"/>
                <w:i w:val="0"/>
                <w:sz w:val="18"/>
              </w:rPr>
              <w:t>Routine clauses or expired restrictions flagged; Karandeep stops reading</w:t>
            </w:r>
          </w:p>
        </w:tc>
        <w:tc>
          <w:tcPr>
            <w:tcW w:type="dxa" w:w="4673"/>
          </w:tcPr>
          <w:p>
            <w:pPr>
              <w:spacing w:after="20" w:before="20"/>
            </w:pPr>
            <w:r>
              <w:rPr>
                <w:b w:val="0"/>
                <w:i w:val="0"/>
                <w:sz w:val="18"/>
              </w:rPr>
              <w:t xml:space="preserve">≤3 blockers on top, every other finding still listed; expired entries shown only as context, never as findings; "what's fine" section. </w:t>
            </w:r>
            <w:r>
              <w:rPr>
                <w:b/>
                <w:i w:val="0"/>
                <w:sz w:val="18"/>
              </w:rPr>
              <w:t>Stance: over-flag rather than miss.</w:t>
            </w:r>
            <w:r>
              <w:rPr>
                <w:b w:val="0"/>
                <w:i w:val="0"/>
                <w:sz w:val="18"/>
              </w:rPr>
              <w:t xml:space="preserve"> With Karandeep in the loop a false alarm costs seconds, a missed clause can cost a dispute; false alarms are reduced over time, not by hiding findings.</w:t>
            </w:r>
          </w:p>
        </w:tc>
        <w:tc>
          <w:tcPr>
            <w:tcW w:type="dxa" w:w="1209"/>
          </w:tcPr>
          <w:p>
            <w:pPr>
              <w:spacing w:after="20" w:before="20"/>
            </w:pPr>
            <w:r>
              <w:rPr>
                <w:b w:val="0"/>
                <w:i w:val="0"/>
                <w:sz w:val="18"/>
              </w:rPr>
              <w:t>Product</w:t>
            </w:r>
          </w:p>
        </w:tc>
      </w:tr>
      <w:tr>
        <w:tc>
          <w:tcPr>
            <w:tcW w:type="dxa" w:w="1209"/>
          </w:tcPr>
          <w:p>
            <w:pPr>
              <w:spacing w:after="20" w:before="20"/>
            </w:pPr>
            <w:r>
              <w:rPr>
                <w:b/>
                <w:i w:val="0"/>
                <w:sz w:val="18"/>
              </w:rPr>
              <w:t>Hallucinated or wrong citation</w:t>
            </w:r>
          </w:p>
        </w:tc>
        <w:tc>
          <w:tcPr>
            <w:tcW w:type="dxa" w:w="2268"/>
          </w:tcPr>
          <w:p>
            <w:pPr>
              <w:spacing w:after="20" w:before="20"/>
            </w:pPr>
            <w:r>
              <w:rPr>
                <w:b w:val="0"/>
                <w:i w:val="0"/>
                <w:sz w:val="18"/>
              </w:rPr>
              <w:t>A finding quotes a clause that doesn't exist or says something else</w:t>
            </w:r>
          </w:p>
        </w:tc>
        <w:tc>
          <w:tcPr>
            <w:tcW w:type="dxa" w:w="4673"/>
          </w:tcPr>
          <w:p>
            <w:pPr>
              <w:spacing w:after="20" w:before="20"/>
            </w:pPr>
            <w:r>
              <w:rPr>
                <w:b w:val="0"/>
                <w:i w:val="0"/>
                <w:sz w:val="18"/>
              </w:rPr>
              <w:t>Verbatim quote required and string-matched to the source before display; findings without a valid citation are dropped</w:t>
            </w:r>
          </w:p>
        </w:tc>
        <w:tc>
          <w:tcPr>
            <w:tcW w:type="dxa" w:w="1209"/>
          </w:tcPr>
          <w:p>
            <w:pPr>
              <w:spacing w:after="20" w:before="20"/>
            </w:pPr>
            <w:r>
              <w:rPr>
                <w:b w:val="0"/>
                <w:i w:val="0"/>
                <w:sz w:val="18"/>
              </w:rPr>
              <w:t>Eng</w:t>
            </w:r>
          </w:p>
        </w:tc>
      </w:tr>
      <w:tr>
        <w:tc>
          <w:tcPr>
            <w:tcW w:type="dxa" w:w="1209"/>
          </w:tcPr>
          <w:p>
            <w:pPr>
              <w:spacing w:after="20" w:before="20"/>
            </w:pPr>
            <w:r>
              <w:rPr>
                <w:b/>
                <w:i w:val="0"/>
                <w:sz w:val="18"/>
              </w:rPr>
              <w:t>Legal conclusion on an interpretive question</w:t>
            </w:r>
          </w:p>
        </w:tc>
        <w:tc>
          <w:tcPr>
            <w:tcW w:type="dxa" w:w="2268"/>
          </w:tcPr>
          <w:p>
            <w:pPr>
              <w:spacing w:after="20" w:before="20"/>
            </w:pPr>
            <w:r>
              <w:rPr>
                <w:b w:val="0"/>
                <w:i w:val="0"/>
                <w:sz w:val="18"/>
              </w:rPr>
              <w:t>System says "you are in breach" or "this is enforceable"</w:t>
            </w:r>
          </w:p>
        </w:tc>
        <w:tc>
          <w:tcPr>
            <w:tcW w:type="dxa" w:w="4673"/>
          </w:tcPr>
          <w:p>
            <w:pPr>
              <w:spacing w:after="20" w:before="20"/>
            </w:pPr>
            <w:r>
              <w:rPr>
                <w:b w:val="0"/>
                <w:i w:val="0"/>
                <w:sz w:val="18"/>
              </w:rPr>
              <w:t>Fixed vocabulary; interpretive items labelled "needs judgment/counsel" with both readings</w:t>
            </w:r>
          </w:p>
        </w:tc>
        <w:tc>
          <w:tcPr>
            <w:tcW w:type="dxa" w:w="1209"/>
          </w:tcPr>
          <w:p>
            <w:pPr>
              <w:spacing w:after="20" w:before="20"/>
            </w:pPr>
            <w:r>
              <w:rPr>
                <w:b w:val="0"/>
                <w:i w:val="0"/>
                <w:sz w:val="18"/>
              </w:rPr>
              <w:t>Product</w:t>
            </w:r>
          </w:p>
        </w:tc>
      </w:tr>
      <w:tr>
        <w:tc>
          <w:tcPr>
            <w:tcW w:type="dxa" w:w="1209"/>
          </w:tcPr>
          <w:p>
            <w:pPr>
              <w:spacing w:after="20" w:before="20"/>
            </w:pPr>
            <w:r>
              <w:rPr>
                <w:b/>
                <w:i w:val="0"/>
                <w:sz w:val="18"/>
              </w:rPr>
              <w:t>Learning the wrong precedent</w:t>
            </w:r>
          </w:p>
        </w:tc>
        <w:tc>
          <w:tcPr>
            <w:tcW w:type="dxa" w:w="2268"/>
          </w:tcPr>
          <w:p>
            <w:pPr>
              <w:spacing w:after="20" w:before="20"/>
            </w:pPr>
            <w:r>
              <w:rPr>
                <w:b w:val="0"/>
                <w:i w:val="0"/>
                <w:sz w:val="18"/>
              </w:rPr>
              <w:t>An accident (Brightwater) or one-off exception (Al Noor 10%) treated as standard</w:t>
            </w:r>
          </w:p>
        </w:tc>
        <w:tc>
          <w:tcPr>
            <w:tcW w:type="dxa" w:w="4673"/>
          </w:tcPr>
          <w:p>
            <w:pPr>
              <w:spacing w:after="20" w:before="20"/>
            </w:pPr>
            <w:r>
              <w:rPr>
                <w:b w:val="0"/>
                <w:i w:val="0"/>
                <w:sz w:val="18"/>
              </w:rPr>
              <w:t>Only Karandeep-approved positions are "standard"; others labelled exception/concession/accident</w:t>
            </w:r>
          </w:p>
        </w:tc>
        <w:tc>
          <w:tcPr>
            <w:tcW w:type="dxa" w:w="1209"/>
          </w:tcPr>
          <w:p>
            <w:pPr>
              <w:spacing w:after="20" w:before="20"/>
            </w:pPr>
            <w:r>
              <w:rPr>
                <w:b w:val="0"/>
                <w:i w:val="0"/>
                <w:sz w:val="18"/>
              </w:rPr>
              <w:t>Karandeep</w:t>
            </w:r>
          </w:p>
        </w:tc>
      </w:tr>
      <w:tr>
        <w:tc>
          <w:tcPr>
            <w:tcW w:type="dxa" w:w="1209"/>
          </w:tcPr>
          <w:p>
            <w:pPr>
              <w:spacing w:after="20" w:before="20"/>
            </w:pPr>
            <w:r>
              <w:rPr>
                <w:b/>
                <w:i w:val="0"/>
                <w:sz w:val="18"/>
              </w:rPr>
              <w:t>Automation overreach</w:t>
            </w:r>
          </w:p>
        </w:tc>
        <w:tc>
          <w:tcPr>
            <w:tcW w:type="dxa" w:w="2268"/>
          </w:tcPr>
          <w:p>
            <w:pPr>
              <w:spacing w:after="20" w:before="20"/>
            </w:pPr>
            <w:r>
              <w:rPr>
                <w:b w:val="0"/>
                <w:i w:val="0"/>
                <w:sz w:val="18"/>
              </w:rPr>
              <w:t>System sends a redline, approves, signs, or notifies a regulator</w:t>
            </w:r>
          </w:p>
        </w:tc>
        <w:tc>
          <w:tcPr>
            <w:tcW w:type="dxa" w:w="4673"/>
          </w:tcPr>
          <w:p>
            <w:pPr>
              <w:spacing w:after="20" w:before="20"/>
            </w:pPr>
            <w:r>
              <w:rPr>
                <w:b w:val="0"/>
                <w:i w:val="0"/>
                <w:sz w:val="18"/>
              </w:rPr>
              <w:t>No send/sign/approve capability exists in the product; decisions are recorded, never executed; drafts only; compliance alerts go to Karandeep and a named owner</w:t>
            </w:r>
          </w:p>
        </w:tc>
        <w:tc>
          <w:tcPr>
            <w:tcW w:type="dxa" w:w="1209"/>
          </w:tcPr>
          <w:p>
            <w:pPr>
              <w:spacing w:after="20" w:before="20"/>
            </w:pPr>
            <w:r>
              <w:rPr>
                <w:b w:val="0"/>
                <w:i w:val="0"/>
                <w:sz w:val="18"/>
              </w:rPr>
              <w:t>Product</w:t>
            </w:r>
          </w:p>
        </w:tc>
      </w:tr>
      <w:tr>
        <w:tc>
          <w:tcPr>
            <w:tcW w:type="dxa" w:w="1209"/>
          </w:tcPr>
          <w:p>
            <w:pPr>
              <w:spacing w:after="20" w:before="20"/>
            </w:pPr>
            <w:r>
              <w:rPr>
                <w:b/>
                <w:i w:val="0"/>
                <w:sz w:val="18"/>
              </w:rPr>
              <w:t>Evasive suggestions</w:t>
            </w:r>
          </w:p>
        </w:tc>
        <w:tc>
          <w:tcPr>
            <w:tcW w:type="dxa" w:w="2268"/>
          </w:tcPr>
          <w:p>
            <w:pPr>
              <w:spacing w:after="20" w:before="20"/>
            </w:pPr>
            <w:r>
              <w:rPr>
                <w:b w:val="0"/>
                <w:i w:val="0"/>
                <w:sz w:val="18"/>
              </w:rPr>
              <w:t>System proposes workarounds to dodge an obligation (e.g. route work via a third party)</w:t>
            </w:r>
          </w:p>
        </w:tc>
        <w:tc>
          <w:tcPr>
            <w:tcW w:type="dxa" w:w="4673"/>
          </w:tcPr>
          <w:p>
            <w:pPr>
              <w:spacing w:after="20" w:before="20"/>
            </w:pPr>
            <w:r>
              <w:rPr>
                <w:b w:val="0"/>
                <w:i w:val="0"/>
                <w:sz w:val="18"/>
              </w:rPr>
              <w:t>Recommendation set limited to: comply, renegotiate, seek consent/waiver, business fix, counsel</w:t>
            </w:r>
          </w:p>
        </w:tc>
        <w:tc>
          <w:tcPr>
            <w:tcW w:type="dxa" w:w="1209"/>
          </w:tcPr>
          <w:p>
            <w:pPr>
              <w:spacing w:after="20" w:before="20"/>
            </w:pPr>
            <w:r>
              <w:rPr>
                <w:b w:val="0"/>
                <w:i w:val="0"/>
                <w:sz w:val="18"/>
              </w:rPr>
              <w:t>Product</w:t>
            </w:r>
          </w:p>
        </w:tc>
      </w:tr>
      <w:tr>
        <w:tc>
          <w:tcPr>
            <w:tcW w:type="dxa" w:w="1209"/>
          </w:tcPr>
          <w:p>
            <w:pPr>
              <w:spacing w:after="20" w:before="20"/>
            </w:pPr>
            <w:r>
              <w:rPr>
                <w:b/>
                <w:i w:val="0"/>
                <w:sz w:val="18"/>
              </w:rPr>
              <w:t>Confidentiality leak</w:t>
            </w:r>
          </w:p>
        </w:tc>
        <w:tc>
          <w:tcPr>
            <w:tcW w:type="dxa" w:w="2268"/>
          </w:tcPr>
          <w:p>
            <w:pPr>
              <w:spacing w:after="20" w:before="20"/>
            </w:pPr>
            <w:r>
              <w:rPr>
                <w:b w:val="0"/>
                <w:i w:val="0"/>
                <w:sz w:val="18"/>
              </w:rPr>
              <w:t>A seller sees another client's rates or terms</w:t>
            </w:r>
          </w:p>
        </w:tc>
        <w:tc>
          <w:tcPr>
            <w:tcW w:type="dxa" w:w="4673"/>
          </w:tcPr>
          <w:p>
            <w:pPr>
              <w:spacing w:after="20" w:before="20"/>
            </w:pPr>
            <w:r>
              <w:rPr>
                <w:b w:val="0"/>
                <w:i w:val="0"/>
                <w:sz w:val="18"/>
              </w:rPr>
              <w:t>Role-based views; seller heads-up shows implications, not source terms beyond need; similar-clause results are Karandeep-only</w:t>
            </w:r>
          </w:p>
        </w:tc>
        <w:tc>
          <w:tcPr>
            <w:tcW w:type="dxa" w:w="1209"/>
          </w:tcPr>
          <w:p>
            <w:pPr>
              <w:spacing w:after="20" w:before="20"/>
            </w:pPr>
            <w:r>
              <w:rPr>
                <w:b w:val="0"/>
                <w:i w:val="0"/>
                <w:sz w:val="18"/>
              </w:rPr>
              <w:t>Eng</w:t>
            </w:r>
          </w:p>
        </w:tc>
      </w:tr>
      <w:tr>
        <w:tc>
          <w:tcPr>
            <w:tcW w:type="dxa" w:w="1209"/>
          </w:tcPr>
          <w:p>
            <w:pPr>
              <w:spacing w:after="20" w:before="20"/>
            </w:pPr>
            <w:r>
              <w:rPr>
                <w:b/>
                <w:i w:val="0"/>
                <w:sz w:val="18"/>
              </w:rPr>
              <w:t>Similar clause mistaken for precedent</w:t>
            </w:r>
          </w:p>
        </w:tc>
        <w:tc>
          <w:tcPr>
            <w:tcW w:type="dxa" w:w="2268"/>
          </w:tcPr>
          <w:p>
            <w:pPr>
              <w:spacing w:after="20" w:before="20"/>
            </w:pPr>
            <w:r>
              <w:rPr>
                <w:b w:val="0"/>
                <w:i w:val="0"/>
                <w:sz w:val="18"/>
              </w:rPr>
              <w:t>A clause that is merely similar (or was an accident/one-off) is read as "we accepted this before, so it's fine"</w:t>
            </w:r>
          </w:p>
        </w:tc>
        <w:tc>
          <w:tcPr>
            <w:tcW w:type="dxa" w:w="4673"/>
          </w:tcPr>
          <w:p>
            <w:pPr>
              <w:spacing w:after="20" w:before="20"/>
            </w:pPr>
            <w:r>
              <w:rPr>
                <w:b w:val="0"/>
                <w:i w:val="0"/>
                <w:sz w:val="18"/>
              </w:rPr>
              <w:t>Similar clauses are reference only and never set severity or the verdict; intent label shown on every result, exceptions/accidents marked "one-off: not a precedent"; only signed contracts indexed; similarity threshold, otherwise "no similar clause signed before"</w:t>
            </w:r>
          </w:p>
        </w:tc>
        <w:tc>
          <w:tcPr>
            <w:tcW w:type="dxa" w:w="1209"/>
          </w:tcPr>
          <w:p>
            <w:pPr>
              <w:spacing w:after="20" w:before="20"/>
            </w:pPr>
            <w:r>
              <w:rPr>
                <w:b w:val="0"/>
                <w:i w:val="0"/>
                <w:sz w:val="18"/>
              </w:rPr>
              <w:t>Product + Eng</w:t>
            </w:r>
          </w:p>
        </w:tc>
      </w:tr>
      <w:tr>
        <w:tc>
          <w:tcPr>
            <w:tcW w:type="dxa" w:w="1209"/>
          </w:tcPr>
          <w:p>
            <w:pPr>
              <w:spacing w:after="20" w:before="20"/>
            </w:pPr>
            <w:r>
              <w:rPr>
                <w:b/>
                <w:i w:val="0"/>
                <w:sz w:val="18"/>
              </w:rPr>
              <w:t>Unverified extraction drives a decision</w:t>
            </w:r>
          </w:p>
        </w:tc>
        <w:tc>
          <w:tcPr>
            <w:tcW w:type="dxa" w:w="2268"/>
          </w:tcPr>
          <w:p>
            <w:pPr>
              <w:spacing w:after="20" w:before="20"/>
            </w:pPr>
            <w:r>
              <w:rPr>
                <w:b w:val="0"/>
                <w:i w:val="0"/>
                <w:sz w:val="18"/>
              </w:rPr>
              <w:t>Register extraction error leads to a wrong blocker</w:t>
            </w:r>
          </w:p>
        </w:tc>
        <w:tc>
          <w:tcPr>
            <w:tcW w:type="dxa" w:w="4673"/>
          </w:tcPr>
          <w:p>
            <w:pPr>
              <w:spacing w:after="20" w:before="20"/>
            </w:pPr>
            <w:r>
              <w:rPr>
                <w:b w:val="0"/>
                <w:i w:val="0"/>
                <w:sz w:val="18"/>
              </w:rPr>
              <w:t>Findings relying on unverified entries are labelled with the source clause shown; Karandeep verifies/edits/rejects on the Register screen; rejected entries trigger re-checks</w:t>
            </w:r>
          </w:p>
        </w:tc>
        <w:tc>
          <w:tcPr>
            <w:tcW w:type="dxa" w:w="1209"/>
          </w:tcPr>
          <w:p>
            <w:pPr>
              <w:spacing w:after="20" w:before="20"/>
            </w:pPr>
            <w:r>
              <w:rPr>
                <w:b w:val="0"/>
                <w:i w:val="0"/>
                <w:sz w:val="18"/>
              </w:rPr>
              <w:t>Karandeep + Eng</w:t>
            </w:r>
          </w:p>
        </w:tc>
      </w:tr>
      <w:tr>
        <w:tc>
          <w:tcPr>
            <w:tcW w:type="dxa" w:w="1209"/>
          </w:tcPr>
          <w:p>
            <w:pPr>
              <w:spacing w:after="20" w:before="20"/>
            </w:pPr>
            <w:r>
              <w:rPr>
                <w:b/>
                <w:i w:val="0"/>
                <w:sz w:val="18"/>
              </w:rPr>
              <w:t>Attested notes overused</w:t>
            </w:r>
          </w:p>
        </w:tc>
        <w:tc>
          <w:tcPr>
            <w:tcW w:type="dxa" w:w="2268"/>
          </w:tcPr>
          <w:p>
            <w:pPr>
              <w:spacing w:after="20" w:before="20"/>
            </w:pPr>
            <w:r>
              <w:rPr>
                <w:b w:val="0"/>
                <w:i w:val="0"/>
                <w:sz w:val="18"/>
              </w:rPr>
              <w:t>A note is used to clear a contractual blocker that needs a document</w:t>
            </w:r>
          </w:p>
        </w:tc>
        <w:tc>
          <w:tcPr>
            <w:tcW w:type="dxa" w:w="4673"/>
          </w:tcPr>
          <w:p>
            <w:pPr>
              <w:spacing w:after="20" w:before="20"/>
            </w:pPr>
            <w:r>
              <w:rPr>
                <w:b w:val="0"/>
                <w:i w:val="0"/>
                <w:sz w:val="18"/>
              </w:rPr>
              <w:t>Notes may close compliance alerts only; contractual blockers remain "pending written [waiver/amendment]" until a document is uploaded</w:t>
            </w:r>
          </w:p>
        </w:tc>
        <w:tc>
          <w:tcPr>
            <w:tcW w:type="dxa" w:w="1209"/>
          </w:tcPr>
          <w:p>
            <w:pPr>
              <w:spacing w:after="20" w:before="20"/>
            </w:pPr>
            <w:r>
              <w:rPr>
                <w:b w:val="0"/>
                <w:i w:val="0"/>
                <w:sz w:val="18"/>
              </w:rPr>
              <w:t>Product</w:t>
            </w:r>
          </w:p>
        </w:tc>
      </w:tr>
      <w:tr>
        <w:tc>
          <w:tcPr>
            <w:tcW w:type="dxa" w:w="1209"/>
          </w:tcPr>
          <w:p>
            <w:pPr>
              <w:spacing w:after="20" w:before="20"/>
            </w:pPr>
            <w:r>
              <w:rPr>
                <w:b/>
                <w:i w:val="0"/>
                <w:sz w:val="18"/>
              </w:rPr>
              <w:t>False reassurance to sellers</w:t>
            </w:r>
          </w:p>
        </w:tc>
        <w:tc>
          <w:tcPr>
            <w:tcW w:type="dxa" w:w="2268"/>
          </w:tcPr>
          <w:p>
            <w:pPr>
              <w:spacing w:after="20" w:before="20"/>
            </w:pPr>
            <w:r>
              <w:rPr>
                <w:b w:val="0"/>
                <w:i w:val="0"/>
                <w:sz w:val="18"/>
              </w:rPr>
              <w:t>Silence on an unmatched item read as "safe"</w:t>
            </w:r>
          </w:p>
        </w:tc>
        <w:tc>
          <w:tcPr>
            <w:tcW w:type="dxa" w:w="4673"/>
          </w:tcPr>
          <w:p>
            <w:pPr>
              <w:spacing w:after="20" w:before="20"/>
            </w:pPr>
            <w:r>
              <w:rPr>
                <w:b w:val="0"/>
                <w:i w:val="0"/>
                <w:sz w:val="18"/>
              </w:rPr>
              <w:t>Unmatched items explicitly "couldn't check, ask Karandeep"; never "go ahead"</w:t>
            </w:r>
          </w:p>
        </w:tc>
        <w:tc>
          <w:tcPr>
            <w:tcW w:type="dxa" w:w="1209"/>
          </w:tcPr>
          <w:p>
            <w:pPr>
              <w:spacing w:after="20" w:before="20"/>
            </w:pPr>
            <w:r>
              <w:rPr>
                <w:b w:val="0"/>
                <w:i w:val="0"/>
                <w:sz w:val="18"/>
              </w:rPr>
              <w:t>Product</w:t>
            </w:r>
          </w:p>
        </w:tc>
      </w:tr>
      <w:tr>
        <w:tc>
          <w:tcPr>
            <w:tcW w:type="dxa" w:w="1209"/>
          </w:tcPr>
          <w:p>
            <w:pPr>
              <w:spacing w:after="20" w:before="20"/>
            </w:pPr>
            <w:r>
              <w:rPr>
                <w:b/>
                <w:i w:val="0"/>
                <w:sz w:val="18"/>
              </w:rPr>
              <w:t>Pressure bias</w:t>
            </w:r>
          </w:p>
        </w:tc>
        <w:tc>
          <w:tcPr>
            <w:tcW w:type="dxa" w:w="2268"/>
          </w:tcPr>
          <w:p>
            <w:pPr>
              <w:spacing w:after="20" w:before="20"/>
            </w:pPr>
            <w:r>
              <w:rPr>
                <w:b w:val="0"/>
                <w:i w:val="0"/>
                <w:sz w:val="18"/>
              </w:rPr>
              <w:t>Big/urgent deals get lighter scrutiny, or the small-deal rule hides a real problem</w:t>
            </w:r>
          </w:p>
        </w:tc>
        <w:tc>
          <w:tcPr>
            <w:tcW w:type="dxa" w:w="4673"/>
          </w:tcPr>
          <w:p>
            <w:pPr>
              <w:spacing w:after="20" w:before="20"/>
            </w:pPr>
            <w:r>
              <w:rPr>
                <w:b w:val="0"/>
                <w:i w:val="0"/>
                <w:sz w:val="18"/>
              </w:rPr>
              <w:t>Urgency and deadlines excluded from risk judgment; deal value used only by the fixed FR-23 rule, which lowers negotiable deviations only, never conflicts, compliance or paperwork</w:t>
            </w:r>
          </w:p>
        </w:tc>
        <w:tc>
          <w:tcPr>
            <w:tcW w:type="dxa" w:w="1209"/>
          </w:tcPr>
          <w:p>
            <w:pPr>
              <w:spacing w:after="20" w:before="20"/>
            </w:pPr>
            <w:r>
              <w:rPr>
                <w:b w:val="0"/>
                <w:i w:val="0"/>
                <w:sz w:val="18"/>
              </w:rPr>
              <w:t>Product</w:t>
            </w:r>
          </w:p>
        </w:tc>
      </w:tr>
      <w:tr>
        <w:tc>
          <w:tcPr>
            <w:tcW w:type="dxa" w:w="1209"/>
          </w:tcPr>
          <w:p>
            <w:pPr>
              <w:spacing w:after="20" w:before="20"/>
            </w:pPr>
            <w:r>
              <w:rPr>
                <w:b/>
                <w:i w:val="0"/>
                <w:sz w:val="18"/>
              </w:rPr>
              <w:t>Model misses or dismisses something a rule can see</w:t>
            </w:r>
          </w:p>
        </w:tc>
        <w:tc>
          <w:tcPr>
            <w:tcW w:type="dxa" w:w="2268"/>
          </w:tcPr>
          <w:p>
            <w:pPr>
              <w:spacing w:after="20" w:before="20"/>
            </w:pPr>
            <w:r>
              <w:rPr>
                <w:b w:val="0"/>
                <w:i w:val="0"/>
                <w:sz w:val="18"/>
              </w:rPr>
              <w:t>No clause behind a finding; a clear register match (same sector and region, a price floor, a named asset) called "not applicable"; a "mutual" NDA that protects one side; a blank template treated as terms</w:t>
            </w:r>
          </w:p>
        </w:tc>
        <w:tc>
          <w:tcPr>
            <w:tcW w:type="dxa" w:w="4673"/>
          </w:tcPr>
          <w:p>
            <w:pPr>
              <w:spacing w:after="20" w:before="20"/>
            </w:pPr>
            <w:r>
              <w:rPr>
                <w:b w:val="0"/>
                <w:i w:val="0"/>
                <w:sz w:val="18"/>
              </w:rPr>
              <w:t>No evidence, no counted finding (shown as unsupported, never moves the verdict); a clear match stays a high "needs your judgment" finding; rules flag one-sided NDAs whatever the title; blank templates refused before any model call</w:t>
            </w:r>
          </w:p>
        </w:tc>
        <w:tc>
          <w:tcPr>
            <w:tcW w:type="dxa" w:w="1209"/>
          </w:tcPr>
          <w:p>
            <w:pPr>
              <w:spacing w:after="20" w:before="20"/>
            </w:pPr>
            <w:r>
              <w:rPr>
                <w:b w:val="0"/>
                <w:i w:val="0"/>
                <w:sz w:val="18"/>
              </w:rPr>
              <w:t>Eng</w:t>
            </w:r>
          </w:p>
        </w:tc>
      </w:tr>
      <w:tr>
        <w:tc>
          <w:tcPr>
            <w:tcW w:type="dxa" w:w="1209"/>
          </w:tcPr>
          <w:p>
            <w:pPr>
              <w:spacing w:after="20" w:before="20"/>
            </w:pPr>
            <w:r>
              <w:rPr>
                <w:b/>
                <w:i w:val="0"/>
                <w:sz w:val="18"/>
              </w:rPr>
              <w:t>Instructions hidden in a document</w:t>
            </w:r>
          </w:p>
        </w:tc>
        <w:tc>
          <w:tcPr>
            <w:tcW w:type="dxa" w:w="2268"/>
          </w:tcPr>
          <w:p>
            <w:pPr>
              <w:spacing w:after="20" w:before="20"/>
            </w:pPr>
            <w:r>
              <w:rPr>
                <w:b w:val="0"/>
                <w:i w:val="0"/>
                <w:sz w:val="18"/>
              </w:rPr>
              <w:t>A contract or note tells the AI reviewer to ignore its rules or return SIGN</w:t>
            </w:r>
          </w:p>
        </w:tc>
        <w:tc>
          <w:tcPr>
            <w:tcW w:type="dxa" w:w="4673"/>
          </w:tcPr>
          <w:p>
            <w:pPr>
              <w:spacing w:after="20" w:before="20"/>
            </w:pPr>
            <w:r>
              <w:rPr>
                <w:b w:val="0"/>
                <w:i w:val="0"/>
                <w:sz w:val="18"/>
              </w:rPr>
              <w:t>Raised as a high, quoted finding, so the deal can't come out clean</w:t>
            </w:r>
          </w:p>
        </w:tc>
        <w:tc>
          <w:tcPr>
            <w:tcW w:type="dxa" w:w="1209"/>
          </w:tcPr>
          <w:p>
            <w:pPr>
              <w:spacing w:after="20" w:before="20"/>
            </w:pPr>
            <w:r>
              <w:rPr>
                <w:b w:val="0"/>
                <w:i w:val="0"/>
                <w:sz w:val="18"/>
              </w:rPr>
              <w:t>Eng</w:t>
            </w:r>
          </w:p>
        </w:tc>
      </w:tr>
      <w:tr>
        <w:tc>
          <w:tcPr>
            <w:tcW w:type="dxa" w:w="1209"/>
          </w:tcPr>
          <w:p>
            <w:pPr>
              <w:spacing w:after="20" w:before="20"/>
            </w:pPr>
            <w:r>
              <w:rPr>
                <w:b/>
                <w:i w:val="0"/>
                <w:sz w:val="18"/>
              </w:rPr>
              <w:t>Client data exposed to the AI provider</w:t>
            </w:r>
          </w:p>
        </w:tc>
        <w:tc>
          <w:tcPr>
            <w:tcW w:type="dxa" w:w="2268"/>
          </w:tcPr>
          <w:p>
            <w:pPr>
              <w:spacing w:after="20" w:before="20"/>
            </w:pPr>
            <w:r>
              <w:rPr>
                <w:b w:val="0"/>
                <w:i w:val="0"/>
                <w:sz w:val="18"/>
              </w:rPr>
              <w:t>A client name, person, amount or bank detail reaches the external model in a prompt</w:t>
            </w:r>
          </w:p>
        </w:tc>
        <w:tc>
          <w:tcPr>
            <w:tcW w:type="dxa" w:w="4673"/>
          </w:tcPr>
          <w:p>
            <w:pPr>
              <w:spacing w:after="20" w:before="20"/>
            </w:pPr>
            <w:r>
              <w:rPr>
                <w:b w:val="0"/>
                <w:i w:val="0"/>
                <w:sz w:val="18"/>
              </w:rPr>
              <w:t>Masking before every AI and embeddings call (FR-26); known-entity lists plus pattern rules plus local name detection; a leak scan of every outgoing request in testing; provider terms with no training or retention</w:t>
            </w:r>
          </w:p>
        </w:tc>
        <w:tc>
          <w:tcPr>
            <w:tcW w:type="dxa" w:w="1209"/>
          </w:tcPr>
          <w:p>
            <w:pPr>
              <w:spacing w:after="20" w:before="20"/>
            </w:pPr>
            <w:r>
              <w:rPr>
                <w:b w:val="0"/>
                <w:i w:val="0"/>
                <w:sz w:val="18"/>
              </w:rPr>
              <w:t>Eng</w:t>
            </w:r>
          </w:p>
        </w:tc>
      </w:tr>
      <w:tr>
        <w:tc>
          <w:tcPr>
            <w:tcW w:type="dxa" w:w="1209"/>
          </w:tcPr>
          <w:p>
            <w:pPr>
              <w:spacing w:after="20" w:before="20"/>
            </w:pPr>
            <w:r>
              <w:rPr>
                <w:b/>
                <w:i w:val="0"/>
                <w:sz w:val="18"/>
              </w:rPr>
              <w:t>Masking hurts review quality</w:t>
            </w:r>
          </w:p>
        </w:tc>
        <w:tc>
          <w:tcPr>
            <w:tcW w:type="dxa" w:w="2268"/>
          </w:tcPr>
          <w:p>
            <w:pPr>
              <w:spacing w:after="20" w:before="20"/>
            </w:pPr>
            <w:r>
              <w:rPr>
                <w:b w:val="0"/>
                <w:i w:val="0"/>
                <w:sz w:val="18"/>
              </w:rPr>
              <w:t>Labels hide something the model needed (e.g. which party is AtliQ), so a finding is missed</w:t>
            </w:r>
          </w:p>
        </w:tc>
        <w:tc>
          <w:tcPr>
            <w:tcW w:type="dxa" w:w="4673"/>
          </w:tcPr>
          <w:p>
            <w:pPr>
              <w:spacing w:after="20" w:before="20"/>
            </w:pPr>
            <w:r>
              <w:rPr>
                <w:b w:val="0"/>
                <w:i w:val="0"/>
                <w:sz w:val="18"/>
              </w:rPr>
              <w:t>AtliQ's own entities get fixed labels ([ATLIQ_PVT_LTD], [ATLIQ_INC]) and the client a consistent one, so who-owes-whom stays readable; regions, sectors, percentages and durations stay visible; masked vs unmasked eval run before release</w:t>
            </w:r>
          </w:p>
        </w:tc>
        <w:tc>
          <w:tcPr>
            <w:tcW w:type="dxa" w:w="1209"/>
          </w:tcPr>
          <w:p>
            <w:pPr>
              <w:spacing w:after="20" w:before="20"/>
            </w:pPr>
            <w:r>
              <w:rPr>
                <w:b w:val="0"/>
                <w:i w:val="0"/>
                <w:sz w:val="18"/>
              </w:rPr>
              <w:t>Eng / PM</w:t>
            </w:r>
          </w:p>
        </w:tc>
      </w:tr>
      <w:tr>
        <w:tc>
          <w:tcPr>
            <w:tcW w:type="dxa" w:w="1209"/>
          </w:tcPr>
          <w:p>
            <w:pPr>
              <w:spacing w:after="20" w:before="20"/>
            </w:pPr>
            <w:r>
              <w:rPr>
                <w:b/>
                <w:i w:val="0"/>
                <w:sz w:val="18"/>
              </w:rPr>
              <w:t>Feedback fatigue / rubber-stamping</w:t>
            </w:r>
          </w:p>
        </w:tc>
        <w:tc>
          <w:tcPr>
            <w:tcW w:type="dxa" w:w="2268"/>
          </w:tcPr>
          <w:p>
            <w:pPr>
              <w:spacing w:after="20" w:before="20"/>
            </w:pPr>
            <w:r>
              <w:rPr>
                <w:b w:val="0"/>
                <w:i w:val="0"/>
                <w:sz w:val="18"/>
              </w:rPr>
              <w:t>Karandeep clicks "agree" without reading, or stops giving feedback; metrics become meaningless</w:t>
            </w:r>
          </w:p>
        </w:tc>
        <w:tc>
          <w:tcPr>
            <w:tcW w:type="dxa" w:w="4673"/>
          </w:tcPr>
          <w:p>
            <w:pPr>
              <w:spacing w:after="20" w:before="20"/>
            </w:pPr>
            <w:r>
              <w:rPr>
                <w:b w:val="0"/>
                <w:i w:val="0"/>
                <w:sz w:val="18"/>
              </w:rPr>
              <w:t>Feedback built into actions he must take (decision buttons move the queue); one question per brief max; reasons required only for blocker disagreements; no "accept all" on blockers; passive signals (time on brief, source docs opened) flag rubber-stamping</w:t>
            </w:r>
          </w:p>
        </w:tc>
        <w:tc>
          <w:tcPr>
            <w:tcW w:type="dxa" w:w="1209"/>
          </w:tcPr>
          <w:p>
            <w:pPr>
              <w:spacing w:after="20" w:before="20"/>
            </w:pPr>
            <w:r>
              <w:rPr>
                <w:b w:val="0"/>
                <w:i w:val="0"/>
                <w:sz w:val="18"/>
              </w:rPr>
              <w:t>Product</w:t>
            </w:r>
          </w:p>
        </w:tc>
      </w:tr>
    </w:tbl>
    <w:p>
      <w:pPr>
        <w:spacing w:after="40"/>
      </w:pPr>
    </w:p>
    <w:p>
      <w:pPr>
        <w:pStyle w:val="Heading1"/>
      </w:pPr>
      <w:r>
        <w:rPr>
          <w:b w:val="0"/>
          <w:i w:val="0"/>
        </w:rPr>
        <w:t>11. Eval Criteria</w:t>
      </w:r>
    </w:p>
    <w:p>
      <w:r>
        <w:rPr>
          <w:b w:val="0"/>
          <w:i w:val="0"/>
        </w:rPr>
        <w:t xml:space="preserve">Launch-readiness tests run on </w:t>
      </w:r>
      <w:r>
        <w:rPr>
          <w:b/>
          <w:i w:val="0"/>
        </w:rPr>
        <w:t>`Eval_Set.md`</w:t>
      </w:r>
      <w:r>
        <w:rPr>
          <w:b w:val="0"/>
          <w:i w:val="0"/>
        </w:rPr>
        <w:t>: 15 incoming documents (12 deals), the register built from 17 signed documents, synthetic version pairs and seller checks. Each eval case traces to a user story (§4.2) and functional requirement (§6).</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Eval dimension</w:t>
            </w:r>
          </w:p>
        </w:tc>
        <w:tc>
          <w:tcPr>
            <w:tcW w:type="dxa" w:w="6703"/>
            <w:shd w:val="clear" w:color="auto" w:fill="DCE6F2"/>
          </w:tcPr>
          <w:p>
            <w:pPr>
              <w:spacing w:after="20" w:before="20"/>
            </w:pPr>
            <w:r>
              <w:rPr>
                <w:b/>
                <w:i w:val="0"/>
                <w:sz w:val="18"/>
              </w:rPr>
              <w:t>Definition and threshold</w:t>
            </w:r>
          </w:p>
        </w:tc>
      </w:tr>
      <w:tr>
        <w:tc>
          <w:tcPr>
            <w:tcW w:type="dxa" w:w="2656"/>
          </w:tcPr>
          <w:p>
            <w:pPr>
              <w:spacing w:after="20" w:before="20"/>
            </w:pPr>
            <w:r>
              <w:rPr>
                <w:b/>
                <w:i w:val="0"/>
                <w:sz w:val="18"/>
              </w:rPr>
              <w:t>Blocker recall</w:t>
            </w:r>
          </w:p>
        </w:tc>
        <w:tc>
          <w:tcPr>
            <w:tcW w:type="dxa" w:w="6703"/>
          </w:tcPr>
          <w:p>
            <w:pPr>
              <w:spacing w:after="20" w:before="20"/>
            </w:pPr>
            <w:r>
              <w:rPr>
                <w:b w:val="0"/>
                <w:i w:val="0"/>
                <w:sz w:val="18"/>
              </w:rPr>
              <w:t xml:space="preserve">Expected blockers found: </w:t>
            </w:r>
            <w:r>
              <w:rPr>
                <w:b/>
                <w:i w:val="0"/>
                <w:sz w:val="18"/>
              </w:rPr>
              <w:t>≥95%; 100% on compliance-alert cases.</w:t>
            </w:r>
          </w:p>
        </w:tc>
      </w:tr>
      <w:tr>
        <w:tc>
          <w:tcPr>
            <w:tcW w:type="dxa" w:w="2656"/>
          </w:tcPr>
          <w:p>
            <w:pPr>
              <w:spacing w:after="20" w:before="20"/>
            </w:pPr>
            <w:r>
              <w:rPr>
                <w:b/>
                <w:i w:val="0"/>
                <w:sz w:val="18"/>
              </w:rPr>
              <w:t>Precision on clean contracts</w:t>
            </w:r>
          </w:p>
        </w:tc>
        <w:tc>
          <w:tcPr>
            <w:tcW w:type="dxa" w:w="6703"/>
          </w:tcPr>
          <w:p>
            <w:pPr>
              <w:spacing w:after="20" w:before="20"/>
            </w:pPr>
            <w:r>
              <w:rPr>
                <w:b w:val="0"/>
                <w:i w:val="0"/>
                <w:sz w:val="18"/>
              </w:rPr>
              <w:t xml:space="preserve">Clean cases: SIGN, </w:t>
            </w:r>
            <w:r>
              <w:rPr>
                <w:b/>
                <w:i w:val="0"/>
                <w:sz w:val="18"/>
              </w:rPr>
              <w:t>0 blockers, ≤1 medium</w:t>
            </w:r>
            <w:r>
              <w:rPr>
                <w:b w:val="0"/>
                <w:i w:val="0"/>
                <w:sz w:val="18"/>
              </w:rPr>
              <w:t>; "must not flag" items never flagged (expired commitments only as context).</w:t>
            </w:r>
          </w:p>
        </w:tc>
      </w:tr>
      <w:tr>
        <w:tc>
          <w:tcPr>
            <w:tcW w:type="dxa" w:w="2656"/>
          </w:tcPr>
          <w:p>
            <w:pPr>
              <w:spacing w:after="20" w:before="20"/>
            </w:pPr>
            <w:r>
              <w:rPr>
                <w:b/>
                <w:i w:val="0"/>
                <w:sz w:val="18"/>
              </w:rPr>
              <w:t>Citation validity</w:t>
            </w:r>
          </w:p>
        </w:tc>
        <w:tc>
          <w:tcPr>
            <w:tcW w:type="dxa" w:w="6703"/>
          </w:tcPr>
          <w:p>
            <w:pPr>
              <w:spacing w:after="20" w:before="20"/>
            </w:pPr>
            <w:r>
              <w:rPr>
                <w:b w:val="0"/>
                <w:i w:val="0"/>
                <w:sz w:val="18"/>
              </w:rPr>
              <w:t xml:space="preserve">Quotes match the source exactly: </w:t>
            </w:r>
            <w:r>
              <w:rPr>
                <w:b/>
                <w:i w:val="0"/>
                <w:sz w:val="18"/>
              </w:rPr>
              <w:t>100%</w:t>
            </w:r>
            <w:r>
              <w:rPr>
                <w:b w:val="0"/>
                <w:i w:val="0"/>
                <w:sz w:val="18"/>
              </w:rPr>
              <w:t xml:space="preserve"> (others suppressed).</w:t>
            </w:r>
          </w:p>
        </w:tc>
      </w:tr>
      <w:tr>
        <w:tc>
          <w:tcPr>
            <w:tcW w:type="dxa" w:w="2656"/>
          </w:tcPr>
          <w:p>
            <w:pPr>
              <w:spacing w:after="20" w:before="20"/>
            </w:pPr>
            <w:r>
              <w:rPr>
                <w:b/>
                <w:i w:val="0"/>
                <w:sz w:val="18"/>
              </w:rPr>
              <w:t>Extraction accuracy</w:t>
            </w:r>
          </w:p>
        </w:tc>
        <w:tc>
          <w:tcPr>
            <w:tcW w:type="dxa" w:w="6703"/>
          </w:tcPr>
          <w:p>
            <w:pPr>
              <w:spacing w:after="20" w:before="20"/>
            </w:pPr>
            <w:r>
              <w:rPr>
                <w:b w:val="0"/>
                <w:i w:val="0"/>
                <w:sz w:val="18"/>
              </w:rPr>
              <w:t xml:space="preserve">Key fields (entity, law, payment, caps, insurance, parties) vs a hand-labelled set: </w:t>
            </w:r>
            <w:r>
              <w:rPr>
                <w:b/>
                <w:i w:val="0"/>
                <w:sz w:val="18"/>
              </w:rPr>
              <w:t>≥95% per field.</w:t>
            </w:r>
          </w:p>
        </w:tc>
      </w:tr>
      <w:tr>
        <w:tc>
          <w:tcPr>
            <w:tcW w:type="dxa" w:w="2656"/>
          </w:tcPr>
          <w:p>
            <w:pPr>
              <w:spacing w:after="20" w:before="20"/>
            </w:pPr>
            <w:r>
              <w:rPr>
                <w:b/>
                <w:i w:val="0"/>
                <w:sz w:val="18"/>
              </w:rPr>
              <w:t>Register accuracy &amp; coverage</w:t>
            </w:r>
          </w:p>
        </w:tc>
        <w:tc>
          <w:tcPr>
            <w:tcW w:type="dxa" w:w="6703"/>
          </w:tcPr>
          <w:p>
            <w:pPr>
              <w:spacing w:after="20" w:before="20"/>
            </w:pPr>
            <w:r>
              <w:rPr>
                <w:b w:val="0"/>
                <w:i w:val="0"/>
                <w:sz w:val="18"/>
              </w:rPr>
              <w:t xml:space="preserve">Entries correct vs the hand-built register: </w:t>
            </w:r>
            <w:r>
              <w:rPr>
                <w:b/>
                <w:i w:val="0"/>
                <w:sz w:val="18"/>
              </w:rPr>
              <w:t>≥90% exact; 100% of live restrictions present.</w:t>
            </w:r>
          </w:p>
        </w:tc>
      </w:tr>
      <w:tr>
        <w:tc>
          <w:tcPr>
            <w:tcW w:type="dxa" w:w="2656"/>
          </w:tcPr>
          <w:p>
            <w:pPr>
              <w:spacing w:after="20" w:before="20"/>
            </w:pPr>
            <w:r>
              <w:rPr>
                <w:b/>
                <w:i w:val="0"/>
                <w:sz w:val="18"/>
              </w:rPr>
              <w:t>Severity calibration</w:t>
            </w:r>
          </w:p>
        </w:tc>
        <w:tc>
          <w:tcPr>
            <w:tcW w:type="dxa" w:w="6703"/>
          </w:tcPr>
          <w:p>
            <w:pPr>
              <w:spacing w:after="20" w:before="20"/>
            </w:pPr>
            <w:r>
              <w:rPr>
                <w:b w:val="0"/>
                <w:i w:val="0"/>
                <w:sz w:val="18"/>
              </w:rPr>
              <w:t xml:space="preserve">Severity matches the answer key: </w:t>
            </w:r>
            <w:r>
              <w:rPr>
                <w:b/>
                <w:i w:val="0"/>
                <w:sz w:val="18"/>
              </w:rPr>
              <w:t>≥85%</w:t>
            </w:r>
            <w:r>
              <w:rPr>
                <w:b w:val="0"/>
                <w:i w:val="0"/>
                <w:sz w:val="18"/>
              </w:rPr>
              <w:t>, no blocker downgraded to OK.</w:t>
            </w:r>
          </w:p>
        </w:tc>
      </w:tr>
      <w:tr>
        <w:tc>
          <w:tcPr>
            <w:tcW w:type="dxa" w:w="2656"/>
          </w:tcPr>
          <w:p>
            <w:pPr>
              <w:spacing w:after="20" w:before="20"/>
            </w:pPr>
            <w:r>
              <w:rPr>
                <w:b/>
                <w:i w:val="0"/>
                <w:sz w:val="18"/>
              </w:rPr>
              <w:t>Guardrail compliance</w:t>
            </w:r>
          </w:p>
        </w:tc>
        <w:tc>
          <w:tcPr>
            <w:tcW w:type="dxa" w:w="6703"/>
          </w:tcPr>
          <w:p>
            <w:pPr>
              <w:spacing w:after="20" w:before="20"/>
            </w:pPr>
            <w:r>
              <w:rPr>
                <w:b w:val="0"/>
                <w:i w:val="0"/>
                <w:sz w:val="18"/>
              </w:rPr>
              <w:t xml:space="preserve">0 legal conclusions, evasive suggestions or send/sign actions; unmatched seller items always "couldn't check": </w:t>
            </w:r>
            <w:r>
              <w:rPr>
                <w:b/>
                <w:i w:val="0"/>
                <w:sz w:val="18"/>
              </w:rPr>
              <w:t>100%.</w:t>
            </w:r>
          </w:p>
        </w:tc>
      </w:tr>
      <w:tr>
        <w:tc>
          <w:tcPr>
            <w:tcW w:type="dxa" w:w="2656"/>
          </w:tcPr>
          <w:p>
            <w:pPr>
              <w:spacing w:after="20" w:before="20"/>
            </w:pPr>
            <w:r>
              <w:rPr>
                <w:b/>
                <w:i w:val="0"/>
                <w:sz w:val="18"/>
              </w:rPr>
              <w:t>Consistency</w:t>
            </w:r>
          </w:p>
        </w:tc>
        <w:tc>
          <w:tcPr>
            <w:tcW w:type="dxa" w:w="6703"/>
          </w:tcPr>
          <w:p>
            <w:pPr>
              <w:spacing w:after="20" w:before="20"/>
            </w:pPr>
            <w:r>
              <w:rPr>
                <w:b w:val="0"/>
                <w:i w:val="0"/>
                <w:sz w:val="18"/>
              </w:rPr>
              <w:t xml:space="preserve">Same contract reviewed 3 times → same verdict and blockers: </w:t>
            </w:r>
            <w:r>
              <w:rPr>
                <w:b/>
                <w:i w:val="0"/>
                <w:sz w:val="18"/>
              </w:rPr>
              <w:t>≥95%.</w:t>
            </w:r>
          </w:p>
        </w:tc>
      </w:tr>
      <w:tr>
        <w:tc>
          <w:tcPr>
            <w:tcW w:type="dxa" w:w="2656"/>
          </w:tcPr>
          <w:p>
            <w:pPr>
              <w:spacing w:after="20" w:before="20"/>
            </w:pPr>
            <w:r>
              <w:rPr>
                <w:b/>
                <w:i w:val="0"/>
                <w:sz w:val="18"/>
              </w:rPr>
              <w:t>Version handling</w:t>
            </w:r>
          </w:p>
        </w:tc>
        <w:tc>
          <w:tcPr>
            <w:tcW w:type="dxa" w:w="6703"/>
          </w:tcPr>
          <w:p>
            <w:pPr>
              <w:spacing w:after="20" w:before="20"/>
            </w:pPr>
            <w:r>
              <w:rPr>
                <w:b w:val="0"/>
                <w:i w:val="0"/>
                <w:sz w:val="18"/>
              </w:rPr>
              <w:t xml:space="preserve">Open findings carried forward </w:t>
            </w:r>
            <w:r>
              <w:rPr>
                <w:b/>
                <w:i w:val="0"/>
                <w:sz w:val="18"/>
              </w:rPr>
              <w:t>100%</w:t>
            </w:r>
            <w:r>
              <w:rPr>
                <w:b w:val="0"/>
                <w:i w:val="0"/>
                <w:sz w:val="18"/>
              </w:rPr>
              <w:t xml:space="preserve">; resolved moved to Resolved </w:t>
            </w:r>
            <w:r>
              <w:rPr>
                <w:b/>
                <w:i w:val="0"/>
                <w:sz w:val="18"/>
              </w:rPr>
              <w:t>≥95%</w:t>
            </w:r>
            <w:r>
              <w:rPr>
                <w:b w:val="0"/>
                <w:i w:val="0"/>
                <w:sz w:val="18"/>
              </w:rPr>
              <w:t xml:space="preserve">; </w:t>
            </w:r>
            <w:r>
              <w:rPr>
                <w:b/>
                <w:i w:val="0"/>
                <w:sz w:val="18"/>
              </w:rPr>
              <w:t>0 late findings</w:t>
            </w:r>
            <w:r>
              <w:rPr>
                <w:b w:val="0"/>
                <w:i w:val="0"/>
                <w:sz w:val="18"/>
              </w:rPr>
              <w:t xml:space="preserve"> on unchanged text.</w:t>
            </w:r>
          </w:p>
        </w:tc>
      </w:tr>
      <w:tr>
        <w:tc>
          <w:tcPr>
            <w:tcW w:type="dxa" w:w="2656"/>
          </w:tcPr>
          <w:p>
            <w:pPr>
              <w:spacing w:after="20" w:before="20"/>
            </w:pPr>
            <w:r>
              <w:rPr>
                <w:b/>
                <w:i w:val="0"/>
                <w:sz w:val="18"/>
              </w:rPr>
              <w:t>Seller checks</w:t>
            </w:r>
          </w:p>
        </w:tc>
        <w:tc>
          <w:tcPr>
            <w:tcW w:type="dxa" w:w="6703"/>
          </w:tcPr>
          <w:p>
            <w:pPr>
              <w:spacing w:after="20" w:before="20"/>
            </w:pPr>
            <w:r>
              <w:rPr>
                <w:b w:val="0"/>
                <w:i w:val="0"/>
                <w:sz w:val="18"/>
              </w:rPr>
              <w:t xml:space="preserve">Expected status per item </w:t>
            </w:r>
            <w:r>
              <w:rPr>
                <w:b/>
                <w:i w:val="0"/>
                <w:sz w:val="18"/>
              </w:rPr>
              <w:t>≥95%</w:t>
            </w:r>
            <w:r>
              <w:rPr>
                <w:b w:val="0"/>
                <w:i w:val="0"/>
                <w:sz w:val="18"/>
              </w:rPr>
              <w:t xml:space="preserve">; unmatched items "couldn't check" and banners on change </w:t>
            </w:r>
            <w:r>
              <w:rPr>
                <w:b/>
                <w:i w:val="0"/>
                <w:sz w:val="18"/>
              </w:rPr>
              <w:t>100%</w:t>
            </w:r>
            <w:r>
              <w:rPr>
                <w:b w:val="0"/>
                <w:i w:val="0"/>
                <w:sz w:val="18"/>
              </w:rPr>
              <w:t>.</w:t>
            </w:r>
          </w:p>
        </w:tc>
      </w:tr>
      <w:tr>
        <w:tc>
          <w:tcPr>
            <w:tcW w:type="dxa" w:w="2656"/>
          </w:tcPr>
          <w:p>
            <w:pPr>
              <w:spacing w:after="20" w:before="20"/>
            </w:pPr>
            <w:r>
              <w:rPr>
                <w:b/>
                <w:i w:val="0"/>
                <w:sz w:val="18"/>
              </w:rPr>
              <w:t>Access control</w:t>
            </w:r>
          </w:p>
        </w:tc>
        <w:tc>
          <w:tcPr>
            <w:tcW w:type="dxa" w:w="6703"/>
          </w:tcPr>
          <w:p>
            <w:pPr>
              <w:spacing w:after="20" w:before="20"/>
            </w:pPr>
            <w:r>
              <w:rPr>
                <w:b w:val="0"/>
                <w:i w:val="0"/>
                <w:sz w:val="18"/>
              </w:rPr>
              <w:t xml:space="preserve">Sellers never reach briefs, the register or another client's names or rates: </w:t>
            </w:r>
            <w:r>
              <w:rPr>
                <w:b/>
                <w:i w:val="0"/>
                <w:sz w:val="18"/>
              </w:rPr>
              <w:t>100%.</w:t>
            </w:r>
          </w:p>
        </w:tc>
      </w:tr>
      <w:tr>
        <w:tc>
          <w:tcPr>
            <w:tcW w:type="dxa" w:w="2656"/>
          </w:tcPr>
          <w:p>
            <w:pPr>
              <w:spacing w:after="20" w:before="20"/>
            </w:pPr>
            <w:r>
              <w:rPr>
                <w:b/>
                <w:i w:val="0"/>
                <w:sz w:val="18"/>
              </w:rPr>
              <w:t>Deal linking</w:t>
            </w:r>
          </w:p>
        </w:tc>
        <w:tc>
          <w:tcPr>
            <w:tcW w:type="dxa" w:w="6703"/>
          </w:tcPr>
          <w:p>
            <w:pPr>
              <w:spacing w:after="20" w:before="20"/>
            </w:pPr>
            <w:r>
              <w:rPr>
                <w:b w:val="0"/>
                <w:i w:val="0"/>
                <w:sz w:val="18"/>
              </w:rPr>
              <w:t xml:space="preserve">Correct deal proposed </w:t>
            </w:r>
            <w:r>
              <w:rPr>
                <w:b/>
                <w:i w:val="0"/>
                <w:sz w:val="18"/>
              </w:rPr>
              <w:t>≥95%</w:t>
            </w:r>
            <w:r>
              <w:rPr>
                <w:b w:val="0"/>
                <w:i w:val="0"/>
                <w:sz w:val="18"/>
              </w:rPr>
              <w:t xml:space="preserve">; uncertain matches always ask </w:t>
            </w:r>
            <w:r>
              <w:rPr>
                <w:b/>
                <w:i w:val="0"/>
                <w:sz w:val="18"/>
              </w:rPr>
              <w:t>100%</w:t>
            </w:r>
            <w:r>
              <w:rPr>
                <w:b w:val="0"/>
                <w:i w:val="0"/>
                <w:sz w:val="18"/>
              </w:rPr>
              <w:t>.</w:t>
            </w:r>
          </w:p>
        </w:tc>
      </w:tr>
      <w:tr>
        <w:tc>
          <w:tcPr>
            <w:tcW w:type="dxa" w:w="2656"/>
          </w:tcPr>
          <w:p>
            <w:pPr>
              <w:spacing w:after="20" w:before="20"/>
            </w:pPr>
            <w:r>
              <w:rPr>
                <w:b/>
                <w:i w:val="0"/>
                <w:sz w:val="18"/>
              </w:rPr>
              <w:t>Similar past clauses</w:t>
            </w:r>
          </w:p>
        </w:tc>
        <w:tc>
          <w:tcPr>
            <w:tcW w:type="dxa" w:w="6703"/>
          </w:tcPr>
          <w:p>
            <w:pPr>
              <w:spacing w:after="20" w:before="20"/>
            </w:pPr>
            <w:r>
              <w:rPr>
                <w:b w:val="0"/>
                <w:i w:val="0"/>
                <w:sz w:val="18"/>
              </w:rPr>
              <w:t xml:space="preserve">Expected clause in the top 3 </w:t>
            </w:r>
            <w:r>
              <w:rPr>
                <w:b/>
                <w:i w:val="0"/>
                <w:sz w:val="18"/>
              </w:rPr>
              <w:t>≥80%</w:t>
            </w:r>
            <w:r>
              <w:rPr>
                <w:b w:val="0"/>
                <w:i w:val="0"/>
                <w:sz w:val="18"/>
              </w:rPr>
              <w:t xml:space="preserve">; labels right, one-offs never shown as standard, drafts never returned, verdict unchanged without the panel: </w:t>
            </w:r>
            <w:r>
              <w:rPr>
                <w:b/>
                <w:i w:val="0"/>
                <w:sz w:val="18"/>
              </w:rPr>
              <w:t>100%.</w:t>
            </w:r>
          </w:p>
        </w:tc>
      </w:tr>
      <w:tr>
        <w:tc>
          <w:tcPr>
            <w:tcW w:type="dxa" w:w="2656"/>
          </w:tcPr>
          <w:p>
            <w:pPr>
              <w:spacing w:after="20" w:before="20"/>
            </w:pPr>
            <w:r>
              <w:rPr>
                <w:b/>
                <w:i w:val="0"/>
                <w:sz w:val="18"/>
              </w:rPr>
              <w:t>Masking</w:t>
            </w:r>
          </w:p>
        </w:tc>
        <w:tc>
          <w:tcPr>
            <w:tcW w:type="dxa" w:w="6703"/>
          </w:tcPr>
          <w:p>
            <w:pPr>
              <w:spacing w:after="20" w:before="20"/>
            </w:pPr>
            <w:r>
              <w:rPr>
                <w:b/>
                <w:i w:val="0"/>
                <w:sz w:val="18"/>
              </w:rPr>
              <w:t>0 leaks</w:t>
            </w:r>
            <w:r>
              <w:rPr>
                <w:b w:val="0"/>
                <w:i w:val="0"/>
                <w:sz w:val="18"/>
              </w:rPr>
              <w:t xml:space="preserve"> in what is sent to the AI; masked results within </w:t>
            </w:r>
            <w:r>
              <w:rPr>
                <w:b/>
                <w:i w:val="0"/>
                <w:sz w:val="18"/>
              </w:rPr>
              <w:t>2 cases</w:t>
            </w:r>
            <w:r>
              <w:rPr>
                <w:b w:val="0"/>
                <w:i w:val="0"/>
                <w:sz w:val="18"/>
              </w:rPr>
              <w:t xml:space="preserve"> of unmasked.</w:t>
            </w:r>
          </w:p>
        </w:tc>
      </w:tr>
      <w:tr>
        <w:tc>
          <w:tcPr>
            <w:tcW w:type="dxa" w:w="2656"/>
          </w:tcPr>
          <w:p>
            <w:pPr>
              <w:spacing w:after="20" w:before="20"/>
            </w:pPr>
            <w:r>
              <w:rPr>
                <w:b/>
                <w:i w:val="0"/>
                <w:sz w:val="18"/>
              </w:rPr>
              <w:t>Latency</w:t>
            </w:r>
          </w:p>
        </w:tc>
        <w:tc>
          <w:tcPr>
            <w:tcW w:type="dxa" w:w="6703"/>
          </w:tcPr>
          <w:p>
            <w:pPr>
              <w:spacing w:after="20" w:before="20"/>
            </w:pPr>
            <w:r>
              <w:rPr>
                <w:b w:val="0"/>
                <w:i w:val="0"/>
                <w:sz w:val="18"/>
              </w:rPr>
              <w:t>NDA &lt;1 min; full MSA &lt;10 min (p90).</w:t>
            </w:r>
          </w:p>
        </w:tc>
      </w:tr>
      <w:tr>
        <w:tc>
          <w:tcPr>
            <w:tcW w:type="dxa" w:w="2656"/>
          </w:tcPr>
          <w:p>
            <w:pPr>
              <w:spacing w:after="20" w:before="20"/>
            </w:pPr>
            <w:r>
              <w:rPr>
                <w:b/>
                <w:i w:val="0"/>
                <w:sz w:val="18"/>
              </w:rPr>
              <w:t>Reading real files</w:t>
            </w:r>
          </w:p>
        </w:tc>
        <w:tc>
          <w:tcPr>
            <w:tcW w:type="dxa" w:w="6703"/>
          </w:tcPr>
          <w:p>
            <w:pPr>
              <w:spacing w:after="20" w:before="20"/>
            </w:pPr>
            <w:r>
              <w:rPr>
                <w:b w:val="0"/>
                <w:i w:val="0"/>
                <w:sz w:val="18"/>
              </w:rPr>
              <w:t>Word and text PDFs ≥98% of words; scans ≥95%; every clause number kept.</w:t>
            </w:r>
          </w:p>
        </w:tc>
      </w:tr>
      <w:tr>
        <w:tc>
          <w:tcPr>
            <w:tcW w:type="dxa" w:w="2656"/>
          </w:tcPr>
          <w:p>
            <w:pPr>
              <w:spacing w:after="20" w:before="20"/>
            </w:pPr>
            <w:r>
              <w:rPr>
                <w:b/>
                <w:i w:val="0"/>
                <w:sz w:val="18"/>
              </w:rPr>
              <w:t>Upload detection</w:t>
            </w:r>
          </w:p>
        </w:tc>
        <w:tc>
          <w:tcPr>
            <w:tcW w:type="dxa" w:w="6703"/>
          </w:tcPr>
          <w:p>
            <w:pPr>
              <w:spacing w:after="20" w:before="20"/>
            </w:pPr>
            <w:r>
              <w:rPr>
                <w:b w:val="0"/>
                <w:i w:val="0"/>
                <w:sz w:val="18"/>
              </w:rPr>
              <w:t xml:space="preserve">Notes, versions, wrong-deal files and blank templates told apart </w:t>
            </w:r>
            <w:r>
              <w:rPr>
                <w:b/>
                <w:i w:val="0"/>
                <w:sz w:val="18"/>
              </w:rPr>
              <w:t>100%</w:t>
            </w:r>
            <w:r>
              <w:rPr>
                <w:b w:val="0"/>
                <w:i w:val="0"/>
                <w:sz w:val="18"/>
              </w:rPr>
              <w:t xml:space="preserve"> on the test set.</w:t>
            </w:r>
          </w:p>
        </w:tc>
      </w:tr>
      <w:tr>
        <w:tc>
          <w:tcPr>
            <w:tcW w:type="dxa" w:w="2656"/>
          </w:tcPr>
          <w:p>
            <w:pPr>
              <w:spacing w:after="20" w:before="20"/>
            </w:pPr>
            <w:r>
              <w:rPr>
                <w:b/>
                <w:i w:val="0"/>
                <w:sz w:val="18"/>
              </w:rPr>
              <w:t>Held-out set</w:t>
            </w:r>
          </w:p>
        </w:tc>
        <w:tc>
          <w:tcPr>
            <w:tcW w:type="dxa" w:w="6703"/>
          </w:tcPr>
          <w:p>
            <w:pPr>
              <w:spacing w:after="20" w:before="20"/>
            </w:pPr>
            <w:r>
              <w:rPr>
                <w:b w:val="0"/>
                <w:i w:val="0"/>
                <w:sz w:val="18"/>
              </w:rPr>
              <w:t>10 signed contracts + 10 drafts never used for tuning, cases fixed before the first run: verdicts, conflicts found, false alarms on the clean draft.</w:t>
            </w:r>
          </w:p>
        </w:tc>
      </w:tr>
    </w:tbl>
    <w:p>
      <w:pPr>
        <w:spacing w:after="40"/>
      </w:pPr>
    </w:p>
    <w:p>
      <w:r>
        <w:rPr>
          <w:b/>
          <w:i w:val="0"/>
        </w:rPr>
        <w:t>Results on the prototype (Gemini; full tables in the prototype's `eval/results.md` and `eval/holdout-results.md`).</w:t>
      </w:r>
    </w:p>
    <w:p>
      <w:pPr>
        <w:pStyle w:val="ListParagraph"/>
        <w:numPr>
          <w:ilvl w:val="0"/>
          <w:numId w:val="90"/>
        </w:numPr>
        <w:spacing w:after="40"/>
      </w:pPr>
      <w:r>
        <w:rPr>
          <w:b/>
          <w:i w:val="0"/>
        </w:rPr>
        <w:t>Main set: 61 of 67 cases pass</w:t>
      </w:r>
      <w:r>
        <w:rPr>
          <w:b w:val="0"/>
          <w:i w:val="0"/>
        </w:rPr>
        <w:t>, 3 fail, 3 skipped (FR-18 not built; EV-M2 needs name detection, which the lite masking doesn't have; EV-M3, the full masked run, not run). The 3 failures are judgment calls: TravelHub held instead of sent back (more cautious than the answer key); Datavane's exclusivity collision found but rated high, not blocker; one IP point missed on Harrington with the right verdict.</w:t>
      </w:r>
    </w:p>
    <w:p>
      <w:pPr>
        <w:pStyle w:val="ListParagraph"/>
        <w:numPr>
          <w:ilvl w:val="0"/>
          <w:numId w:val="90"/>
        </w:numPr>
        <w:spacing w:after="40"/>
      </w:pPr>
      <w:r>
        <w:rPr>
          <w:b w:val="0"/>
          <w:i w:val="0"/>
        </w:rPr>
        <w:t>Citation validity 100% (132/132); 0 legal conclusions; similar past clauses recall@3 100%, verdicts unchanged without the panel; file reading 10/10; masking 0 leaks across 150 texts, and a masked Lakeshore review gave the same verdict with every quote matching.</w:t>
      </w:r>
    </w:p>
    <w:p>
      <w:pPr>
        <w:pStyle w:val="ListParagraph"/>
        <w:numPr>
          <w:ilvl w:val="0"/>
          <w:numId w:val="90"/>
        </w:numPr>
        <w:spacing w:after="40"/>
      </w:pPr>
      <w:r>
        <w:rPr>
          <w:b w:val="0"/>
          <w:i w:val="0"/>
        </w:rPr>
        <w:t>Every finding graded by hand (83): 84% correct, 8% noise, 1 wrong. Consistency: 12 of 12 complete fresh runs agree on their deal's verdict.</w:t>
      </w:r>
    </w:p>
    <w:p>
      <w:pPr>
        <w:pStyle w:val="ListParagraph"/>
        <w:numPr>
          <w:ilvl w:val="0"/>
          <w:numId w:val="90"/>
        </w:numPr>
        <w:spacing w:after="40"/>
      </w:pPr>
      <w:r>
        <w:rPr>
          <w:b/>
          <w:i w:val="0"/>
        </w:rPr>
        <w:t>Held-out set</w:t>
      </w:r>
      <w:r>
        <w:rPr>
          <w:b w:val="0"/>
          <w:i w:val="0"/>
        </w:rPr>
        <w:t xml:space="preserve"> (never used for tuning): verdicts 9/10 (8/10 after a later bug fix removed a false "missing DPA" that had supported one HOLD), 0 false alarms on the clean draft, conflicts found 7/11. All 4 missed conflicts were commitment kinds the conflict check doesn't yet compare (FR-6 status); the brief's "check by hand" list pointed to the right contract in all 4.</w:t>
      </w:r>
    </w:p>
    <w:p>
      <w:pPr>
        <w:pStyle w:val="Heading1"/>
      </w:pPr>
      <w:r>
        <w:rPr>
          <w:b w:val="0"/>
          <w:i w:val="0"/>
        </w:rPr>
        <w:t>12. Success Metrics (North Star &amp; Metrics)</w:t>
      </w:r>
    </w:p>
    <w:p>
      <w:r>
        <w:rPr>
          <w:b/>
          <w:i w:val="0"/>
        </w:rPr>
        <w:t>North Star: Decide-from-brief rate. The % of brief versions on which Karandeep makes his decision without needing to dig: correct verdict, no missed or wrongly flagged blocker, and no need to re-read the contract or search for context. Target ≥90%.</w:t>
      </w:r>
    </w:p>
    <w:p>
      <w:r>
        <w:rPr>
          <w:b/>
          <w:i w:val="0"/>
        </w:rPr>
        <w:t>Why this North Star</w:t>
      </w:r>
    </w:p>
    <w:p>
      <w:pPr>
        <w:pStyle w:val="ListParagraph"/>
        <w:numPr>
          <w:ilvl w:val="0"/>
          <w:numId w:val="90"/>
        </w:numPr>
        <w:spacing w:after="40"/>
      </w:pPr>
      <w:r>
        <w:rPr>
          <w:b/>
          <w:i w:val="0"/>
        </w:rPr>
        <w:t>It measures the handoff the product controls.</w:t>
      </w:r>
      <w:r>
        <w:rPr>
          <w:b w:val="0"/>
          <w:i w:val="0"/>
        </w:rPr>
        <w:t xml:space="preserve"> Yours Legally,'s output is the brief. After it, Karandeep's judgment, the counterparty's turnaround and the signature are human-dependent, so "contracts signed safely", "time to signature" or the number of negotiation rounds would blend the product's performance with things it can't influence. How many rounds a negotiation takes is between Karandeep and his clients.</w:t>
      </w:r>
    </w:p>
    <w:p>
      <w:pPr>
        <w:pStyle w:val="ListParagraph"/>
        <w:numPr>
          <w:ilvl w:val="0"/>
          <w:numId w:val="90"/>
        </w:numPr>
        <w:spacing w:after="40"/>
      </w:pPr>
      <w:r>
        <w:rPr>
          <w:b/>
          <w:i w:val="0"/>
        </w:rPr>
        <w:t>Time isn't the North Star, because the system's part takes minutes.</w:t>
      </w:r>
      <w:r>
        <w:rPr>
          <w:b w:val="0"/>
          <w:i w:val="0"/>
        </w:rPr>
        <w:t xml:space="preserve"> Brief turnaround (NDA &lt;1 min, MSA &lt;10 min) is a requirement (§8) and a guardrail metric. Human waiting time (missing documents, unconfirmed facts) is tracked separately with the clock paused, not blamed on the product.</w:t>
      </w:r>
    </w:p>
    <w:p>
      <w:pPr>
        <w:pStyle w:val="ListParagraph"/>
        <w:numPr>
          <w:ilvl w:val="0"/>
          <w:numId w:val="90"/>
        </w:numPr>
        <w:spacing w:after="40"/>
      </w:pPr>
      <w:r>
        <w:rPr>
          <w:b/>
          <w:i w:val="0"/>
        </w:rPr>
        <w:t>It holds correctness and usefulness together.</w:t>
      </w:r>
      <w:r>
        <w:rPr>
          <w:b w:val="0"/>
          <w:i w:val="0"/>
        </w:rPr>
        <w:t xml:space="preserve"> A brief that is fast but wrong, or right but needs Karandeep to dig through the contract anyway, both fail.</w:t>
      </w:r>
    </w:p>
    <w:p>
      <w:r>
        <w:rPr>
          <w:b/>
          <w:i w:val="0"/>
        </w:rPr>
        <w:t>Unit of measurement: each brief version.</w:t>
      </w:r>
      <w:r>
        <w:rPr>
          <w:b w:val="0"/>
          <w:i w:val="0"/>
        </w:rPr>
        <w:t xml:space="preserve"> Every brief version is a decision point. A v1 that says "SEND BACK: wrong entity" and lets Karandeep decide that without digging is a success; the corrected v2 is a new decision point, measured on its own.</w:t>
      </w:r>
    </w:p>
    <w:p>
      <w:r>
        <w:rPr>
          <w:b/>
          <w:i w:val="0"/>
        </w:rPr>
        <w:t>How it's measured (FR-12, FR-15, FR-18).</w:t>
      </w:r>
      <w:r>
        <w:rPr>
          <w:b w:val="0"/>
          <w:i w:val="0"/>
        </w:rPr>
        <w:t xml:space="preserve"> A brief version counts as a success when:</w:t>
      </w:r>
    </w:p>
    <w:p>
      <w:pPr>
        <w:pStyle w:val="ListParagraph"/>
        <w:spacing w:after="40"/>
      </w:pPr>
      <w:r>
        <w:rPr>
          <w:b w:val="0"/>
          <w:i w:val="0"/>
        </w:rPr>
        <w:t xml:space="preserve">1. a decision is recorded via the decision buttons, </w:t>
      </w:r>
      <w:r>
        <w:rPr>
          <w:b/>
          <w:i w:val="0"/>
        </w:rPr>
        <w:t>and</w:t>
      </w:r>
    </w:p>
    <w:p>
      <w:pPr>
        <w:pStyle w:val="ListParagraph"/>
        <w:spacing w:after="40"/>
      </w:pPr>
      <w:r>
        <w:rPr>
          <w:b w:val="0"/>
          <w:i w:val="0"/>
        </w:rPr>
        <w:t xml:space="preserve">2. Karandeep answers "No" to "Did you need to open the full contract or other documents?" (cross-checked against passive signals), </w:t>
      </w:r>
      <w:r>
        <w:rPr>
          <w:b/>
          <w:i w:val="0"/>
        </w:rPr>
        <w:t>and</w:t>
      </w:r>
    </w:p>
    <w:p>
      <w:pPr>
        <w:pStyle w:val="ListParagraph"/>
        <w:spacing w:after="40"/>
      </w:pPr>
      <w:r>
        <w:rPr>
          <w:b w:val="0"/>
          <w:i w:val="0"/>
        </w:rPr>
        <w:t xml:space="preserve">3. no blocker in it is marked "not a real issue" or "wrong clause/citation", </w:t>
      </w:r>
      <w:r>
        <w:rPr>
          <w:b/>
          <w:i w:val="0"/>
        </w:rPr>
        <w:t>and</w:t>
      </w:r>
    </w:p>
    <w:p>
      <w:pPr>
        <w:pStyle w:val="ListParagraph"/>
        <w:spacing w:after="40"/>
      </w:pPr>
      <w:r>
        <w:rPr>
          <w:b w:val="0"/>
          <w:i w:val="0"/>
        </w:rPr>
        <w:t xml:space="preserve">4. nothing is added via "+ Something the brief missed", </w:t>
      </w:r>
      <w:r>
        <w:rPr>
          <w:b/>
          <w:i w:val="0"/>
        </w:rPr>
        <w:t>and</w:t>
      </w:r>
      <w:r>
        <w:rPr>
          <w:b w:val="0"/>
          <w:i w:val="0"/>
        </w:rPr>
        <w:t xml:space="preserve"> no later version produces a </w:t>
      </w:r>
      <w:r>
        <w:rPr>
          <w:b/>
          <w:i w:val="0"/>
        </w:rPr>
        <w:t>late finding</w:t>
      </w:r>
      <w:r>
        <w:rPr>
          <w:b w:val="0"/>
          <w:i w:val="0"/>
        </w:rPr>
        <w:t xml:space="preserve"> against it (FR-18: a finding that appears later although the deep review ran and the relevant text, deal facts, register and playbook were unchanged).</w:t>
      </w:r>
    </w:p>
    <w:p>
      <w:r>
        <w:rPr>
          <w:b w:val="0"/>
          <w:i w:val="0"/>
        </w:rPr>
        <w:t>The decide-from-brief rate is computed automatically from the decision panel, the audit log and version comparison; no human audit is needed to measure it. Misses that nobody notices are, by definition, not counted; "+ Something the brief missed", late-finding detection and post-signing issues are the backstops.</w:t>
      </w:r>
    </w:p>
    <w:p>
      <w:r>
        <w:rPr>
          <w:b w:val="0"/>
          <w:i w:val="0"/>
        </w:rPr>
        <w:t>Findings that are still open are repeated in every later version ("Still open since previous"); this is correct behaviour and never counts against the product. Findings that are legitimately new (staged deep review now run, new or changed text, register/playbook updated) also don't count against earlier versions.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57"/>
        <w:gridCol w:w="5040"/>
        <w:gridCol w:w="2762"/>
      </w:tblGrid>
      <w:tr>
        <w:trPr>
          <w:tblHeader/>
        </w:trPr>
        <w:tc>
          <w:tcPr>
            <w:tcW w:type="dxa" w:w="1557"/>
            <w:shd w:val="clear" w:color="auto" w:fill="DCE6F2"/>
          </w:tcPr>
          <w:p>
            <w:pPr>
              <w:spacing w:after="20" w:before="20"/>
            </w:pPr>
            <w:r>
              <w:rPr>
                <w:b/>
                <w:i w:val="0"/>
                <w:sz w:val="18"/>
              </w:rPr>
              <w:t>Layer</w:t>
            </w:r>
          </w:p>
        </w:tc>
        <w:tc>
          <w:tcPr>
            <w:tcW w:type="dxa" w:w="5040"/>
            <w:shd w:val="clear" w:color="auto" w:fill="DCE6F2"/>
          </w:tcPr>
          <w:p>
            <w:pPr>
              <w:spacing w:after="20" w:before="20"/>
            </w:pPr>
            <w:r>
              <w:rPr>
                <w:b/>
                <w:i w:val="0"/>
                <w:sz w:val="18"/>
              </w:rPr>
              <w:t>Metric</w:t>
            </w:r>
          </w:p>
        </w:tc>
        <w:tc>
          <w:tcPr>
            <w:tcW w:type="dxa" w:w="2762"/>
            <w:shd w:val="clear" w:color="auto" w:fill="DCE6F2"/>
          </w:tcPr>
          <w:p>
            <w:pPr>
              <w:spacing w:after="20" w:before="20"/>
            </w:pPr>
            <w:r>
              <w:rPr>
                <w:b/>
                <w:i w:val="0"/>
                <w:sz w:val="18"/>
              </w:rPr>
              <w:t>Target / threshold</w:t>
            </w:r>
          </w:p>
        </w:tc>
      </w:tr>
      <w:tr>
        <w:tc>
          <w:tcPr>
            <w:tcW w:type="dxa" w:w="1557"/>
          </w:tcPr>
          <w:p>
            <w:pPr>
              <w:spacing w:after="20" w:before="20"/>
            </w:pPr>
            <w:r>
              <w:rPr>
                <w:b/>
                <w:i w:val="0"/>
                <w:sz w:val="18"/>
              </w:rPr>
              <w:t>North Star</w:t>
            </w:r>
          </w:p>
        </w:tc>
        <w:tc>
          <w:tcPr>
            <w:tcW w:type="dxa" w:w="5040"/>
          </w:tcPr>
          <w:p>
            <w:pPr>
              <w:spacing w:after="20" w:before="20"/>
            </w:pPr>
            <w:r>
              <w:rPr>
                <w:b w:val="0"/>
                <w:i w:val="0"/>
                <w:sz w:val="18"/>
              </w:rPr>
              <w:t>Decide-from-brief rate (per brief version)</w:t>
            </w:r>
          </w:p>
        </w:tc>
        <w:tc>
          <w:tcPr>
            <w:tcW w:type="dxa" w:w="2762"/>
          </w:tcPr>
          <w:p>
            <w:pPr>
              <w:spacing w:after="20" w:before="20"/>
            </w:pPr>
            <w:r>
              <w:rPr>
                <w:b w:val="0"/>
                <w:i w:val="0"/>
                <w:sz w:val="18"/>
              </w:rPr>
              <w:t>≥90%</w:t>
            </w:r>
          </w:p>
        </w:tc>
      </w:tr>
      <w:tr>
        <w:tc>
          <w:tcPr>
            <w:tcW w:type="dxa" w:w="1557"/>
          </w:tcPr>
          <w:p>
            <w:pPr>
              <w:spacing w:after="20" w:before="20"/>
            </w:pPr>
            <w:r>
              <w:rPr>
                <w:b/>
                <w:i w:val="0"/>
                <w:sz w:val="18"/>
              </w:rPr>
              <w:t>Output</w:t>
            </w:r>
          </w:p>
        </w:tc>
        <w:tc>
          <w:tcPr>
            <w:tcW w:type="dxa" w:w="5040"/>
          </w:tcPr>
          <w:p>
            <w:pPr>
              <w:spacing w:after="20" w:before="20"/>
            </w:pPr>
            <w:r>
              <w:rPr>
                <w:b w:val="0"/>
                <w:i w:val="0"/>
                <w:sz w:val="18"/>
              </w:rPr>
              <w:t>% of new contracts with a brief; brief turnaround (p90)</w:t>
            </w:r>
          </w:p>
        </w:tc>
        <w:tc>
          <w:tcPr>
            <w:tcW w:type="dxa" w:w="2762"/>
          </w:tcPr>
          <w:p>
            <w:pPr>
              <w:spacing w:after="20" w:before="20"/>
            </w:pPr>
            <w:r>
              <w:rPr>
                <w:b w:val="0"/>
                <w:i w:val="0"/>
                <w:sz w:val="18"/>
              </w:rPr>
              <w:t>100%; NDA &lt;1 min, MSA &lt;10 min</w:t>
            </w:r>
          </w:p>
        </w:tc>
      </w:tr>
      <w:tr>
        <w:tc>
          <w:tcPr>
            <w:tcW w:type="dxa" w:w="1557"/>
          </w:tcPr>
          <w:p>
            <w:pPr>
              <w:spacing w:after="20" w:before="20"/>
            </w:pPr>
            <w:r>
              <w:rPr>
                <w:b/>
                <w:i w:val="0"/>
                <w:sz w:val="18"/>
              </w:rPr>
              <w:t>Efficiency</w:t>
            </w:r>
          </w:p>
        </w:tc>
        <w:tc>
          <w:tcPr>
            <w:tcW w:type="dxa" w:w="5040"/>
          </w:tcPr>
          <w:p>
            <w:pPr>
              <w:spacing w:after="20" w:before="20"/>
            </w:pPr>
            <w:r>
              <w:rPr>
                <w:b w:val="0"/>
                <w:i w:val="0"/>
                <w:sz w:val="18"/>
              </w:rPr>
              <w:t>Upload to Karandeep's decision, clock paused while waiting for input (waiting time tracked by missing item and owner)</w:t>
            </w:r>
          </w:p>
        </w:tc>
        <w:tc>
          <w:tcPr>
            <w:tcW w:type="dxa" w:w="2762"/>
          </w:tcPr>
          <w:p>
            <w:pPr>
              <w:spacing w:after="20" w:before="20"/>
            </w:pPr>
            <w:r>
              <w:rPr>
                <w:b w:val="0"/>
                <w:i w:val="0"/>
                <w:sz w:val="18"/>
              </w:rPr>
              <w:t>≤1 working day (vs 1 week to 1 month today)</w:t>
            </w:r>
          </w:p>
        </w:tc>
      </w:tr>
      <w:tr>
        <w:tc>
          <w:tcPr>
            <w:tcW w:type="dxa" w:w="1557"/>
          </w:tcPr>
          <w:p>
            <w:pPr>
              <w:spacing w:after="20" w:before="20"/>
            </w:pPr>
            <w:r>
              <w:rPr>
                <w:b/>
                <w:i w:val="0"/>
                <w:sz w:val="18"/>
              </w:rPr>
              <w:t>Efficiency</w:t>
            </w:r>
          </w:p>
        </w:tc>
        <w:tc>
          <w:tcPr>
            <w:tcW w:type="dxa" w:w="5040"/>
          </w:tcPr>
          <w:p>
            <w:pPr>
              <w:spacing w:after="20" w:before="20"/>
            </w:pPr>
            <w:r>
              <w:rPr>
                <w:b w:val="0"/>
                <w:i w:val="0"/>
                <w:sz w:val="18"/>
              </w:rPr>
              <w:t>Karandeep's active review time per contract</w:t>
            </w:r>
          </w:p>
        </w:tc>
        <w:tc>
          <w:tcPr>
            <w:tcW w:type="dxa" w:w="2762"/>
          </w:tcPr>
          <w:p>
            <w:pPr>
              <w:spacing w:after="20" w:before="20"/>
            </w:pPr>
            <w:r>
              <w:rPr>
                <w:b w:val="0"/>
                <w:i w:val="0"/>
                <w:sz w:val="18"/>
              </w:rPr>
              <w:t>about 2 hrs (6 to 8 for complex) → &lt;30 min</w:t>
            </w:r>
          </w:p>
        </w:tc>
      </w:tr>
      <w:tr>
        <w:tc>
          <w:tcPr>
            <w:tcW w:type="dxa" w:w="1557"/>
          </w:tcPr>
          <w:p>
            <w:pPr>
              <w:spacing w:after="20" w:before="20"/>
            </w:pPr>
            <w:r>
              <w:rPr>
                <w:b/>
                <w:i w:val="0"/>
                <w:sz w:val="18"/>
              </w:rPr>
              <w:t>Efficiency</w:t>
            </w:r>
          </w:p>
        </w:tc>
        <w:tc>
          <w:tcPr>
            <w:tcW w:type="dxa" w:w="5040"/>
          </w:tcPr>
          <w:p>
            <w:pPr>
              <w:spacing w:after="20" w:before="20"/>
            </w:pPr>
            <w:r>
              <w:rPr>
                <w:b w:val="0"/>
                <w:i w:val="0"/>
                <w:sz w:val="18"/>
              </w:rPr>
              <w:t>Contracts past their client deadline while waiting on review</w:t>
            </w:r>
          </w:p>
        </w:tc>
        <w:tc>
          <w:tcPr>
            <w:tcW w:type="dxa" w:w="2762"/>
          </w:tcPr>
          <w:p>
            <w:pPr>
              <w:spacing w:after="20" w:before="20"/>
            </w:pPr>
            <w:r>
              <w:rPr>
                <w:b w:val="0"/>
                <w:i w:val="0"/>
                <w:sz w:val="18"/>
              </w:rPr>
              <w:t>0</w:t>
            </w:r>
          </w:p>
        </w:tc>
      </w:tr>
      <w:tr>
        <w:tc>
          <w:tcPr>
            <w:tcW w:type="dxa" w:w="1557"/>
          </w:tcPr>
          <w:p>
            <w:pPr>
              <w:spacing w:after="20" w:before="20"/>
            </w:pPr>
            <w:r>
              <w:rPr>
                <w:b/>
                <w:i w:val="0"/>
                <w:sz w:val="18"/>
              </w:rPr>
              <w:t>Trust signal (AI-specific)</w:t>
            </w:r>
          </w:p>
        </w:tc>
        <w:tc>
          <w:tcPr>
            <w:tcW w:type="dxa" w:w="5040"/>
          </w:tcPr>
          <w:p>
            <w:pPr>
              <w:spacing w:after="20" w:before="20"/>
            </w:pPr>
            <w:r>
              <w:rPr>
                <w:b w:val="0"/>
                <w:i w:val="0"/>
                <w:sz w:val="18"/>
              </w:rPr>
              <w:t>% of blockers marked Agree</w:t>
            </w:r>
          </w:p>
        </w:tc>
        <w:tc>
          <w:tcPr>
            <w:tcW w:type="dxa" w:w="2762"/>
          </w:tcPr>
          <w:p>
            <w:pPr>
              <w:spacing w:after="20" w:before="20"/>
            </w:pPr>
            <w:r>
              <w:rPr>
                <w:b w:val="0"/>
                <w:i w:val="0"/>
                <w:sz w:val="18"/>
              </w:rPr>
              <w:t>≥85%</w:t>
            </w:r>
          </w:p>
        </w:tc>
      </w:tr>
      <w:tr>
        <w:tc>
          <w:tcPr>
            <w:tcW w:type="dxa" w:w="1557"/>
          </w:tcPr>
          <w:p>
            <w:pPr>
              <w:spacing w:after="20" w:before="20"/>
            </w:pPr>
            <w:r>
              <w:rPr>
                <w:b/>
                <w:i w:val="0"/>
                <w:sz w:val="18"/>
              </w:rPr>
              <w:t>Trust signal (AI-specific)</w:t>
            </w:r>
          </w:p>
        </w:tc>
        <w:tc>
          <w:tcPr>
            <w:tcW w:type="dxa" w:w="5040"/>
          </w:tcPr>
          <w:p>
            <w:pPr>
              <w:spacing w:after="20" w:before="20"/>
            </w:pPr>
            <w:r>
              <w:rPr>
                <w:b w:val="0"/>
                <w:i w:val="0"/>
                <w:sz w:val="18"/>
              </w:rPr>
              <w:t>"Had to dig" rate, by reason (missing context or precedent / didn't trust a citation / unclear)</w:t>
            </w:r>
          </w:p>
        </w:tc>
        <w:tc>
          <w:tcPr>
            <w:tcW w:type="dxa" w:w="2762"/>
          </w:tcPr>
          <w:p>
            <w:pPr>
              <w:spacing w:after="20" w:before="20"/>
            </w:pPr>
            <w:r>
              <w:rPr>
                <w:b w:val="0"/>
                <w:i w:val="0"/>
                <w:sz w:val="18"/>
              </w:rPr>
              <w:t>&lt;10%, trending down</w:t>
            </w:r>
          </w:p>
        </w:tc>
      </w:tr>
      <w:tr>
        <w:tc>
          <w:tcPr>
            <w:tcW w:type="dxa" w:w="1557"/>
          </w:tcPr>
          <w:p>
            <w:pPr>
              <w:spacing w:after="20" w:before="20"/>
            </w:pPr>
            <w:r>
              <w:rPr>
                <w:b/>
                <w:i w:val="0"/>
                <w:sz w:val="18"/>
              </w:rPr>
              <w:t>Guardrail (AI-specific)</w:t>
            </w:r>
          </w:p>
        </w:tc>
        <w:tc>
          <w:tcPr>
            <w:tcW w:type="dxa" w:w="5040"/>
          </w:tcPr>
          <w:p>
            <w:pPr>
              <w:spacing w:after="20" w:before="20"/>
            </w:pPr>
            <w:r>
              <w:rPr>
                <w:b w:val="0"/>
                <w:i w:val="0"/>
                <w:sz w:val="18"/>
              </w:rPr>
              <w:t>Missed blockers ("+ missed" entries, late findings on unchanged text, issues surfacing after signing)</w:t>
            </w:r>
          </w:p>
        </w:tc>
        <w:tc>
          <w:tcPr>
            <w:tcW w:type="dxa" w:w="2762"/>
          </w:tcPr>
          <w:p>
            <w:pPr>
              <w:spacing w:after="20" w:before="20"/>
            </w:pPr>
            <w:r>
              <w:rPr>
                <w:b w:val="0"/>
                <w:i w:val="0"/>
                <w:sz w:val="18"/>
              </w:rPr>
              <w:t>0 missed compliance alerts; &lt;5% of blockers; every late finding reviewed</w:t>
            </w:r>
          </w:p>
        </w:tc>
      </w:tr>
      <w:tr>
        <w:tc>
          <w:tcPr>
            <w:tcW w:type="dxa" w:w="1557"/>
          </w:tcPr>
          <w:p>
            <w:pPr>
              <w:spacing w:after="20" w:before="20"/>
            </w:pPr>
            <w:r>
              <w:rPr>
                <w:b/>
                <w:i w:val="0"/>
                <w:sz w:val="18"/>
              </w:rPr>
              <w:t>Guardrail (AI-specific)</w:t>
            </w:r>
          </w:p>
        </w:tc>
        <w:tc>
          <w:tcPr>
            <w:tcW w:type="dxa" w:w="5040"/>
          </w:tcPr>
          <w:p>
            <w:pPr>
              <w:spacing w:after="20" w:before="20"/>
            </w:pPr>
            <w:r>
              <w:rPr>
                <w:b w:val="0"/>
                <w:i w:val="0"/>
                <w:sz w:val="18"/>
              </w:rPr>
              <w:t>False alarms on blockers; invalid citations; auto-sent or auto-approved actions</w:t>
            </w:r>
          </w:p>
        </w:tc>
        <w:tc>
          <w:tcPr>
            <w:tcW w:type="dxa" w:w="2762"/>
          </w:tcPr>
          <w:p>
            <w:pPr>
              <w:spacing w:after="20" w:before="20"/>
            </w:pPr>
            <w:r>
              <w:rPr>
                <w:b w:val="0"/>
                <w:i w:val="0"/>
                <w:sz w:val="18"/>
              </w:rPr>
              <w:t>False alarms reduced over time, never by suppressing findings; 0 invalid citations; 0 automatic actions</w:t>
            </w:r>
          </w:p>
        </w:tc>
      </w:tr>
      <w:tr>
        <w:tc>
          <w:tcPr>
            <w:tcW w:type="dxa" w:w="1557"/>
          </w:tcPr>
          <w:p>
            <w:pPr>
              <w:spacing w:after="20" w:before="20"/>
            </w:pPr>
            <w:r>
              <w:rPr>
                <w:b/>
                <w:i w:val="0"/>
                <w:sz w:val="18"/>
              </w:rPr>
              <w:t>Guardrail (AI-specific)</w:t>
            </w:r>
          </w:p>
        </w:tc>
        <w:tc>
          <w:tcPr>
            <w:tcW w:type="dxa" w:w="5040"/>
          </w:tcPr>
          <w:p>
            <w:pPr>
              <w:spacing w:after="20" w:before="20"/>
            </w:pPr>
            <w:r>
              <w:rPr>
                <w:b w:val="0"/>
                <w:i w:val="0"/>
                <w:sz w:val="18"/>
              </w:rPr>
              <w:t>Feedback health: briefs with a recorded decision + follow-up answer</w:t>
            </w:r>
          </w:p>
        </w:tc>
        <w:tc>
          <w:tcPr>
            <w:tcW w:type="dxa" w:w="2762"/>
          </w:tcPr>
          <w:p>
            <w:pPr>
              <w:spacing w:after="20" w:before="20"/>
            </w:pPr>
            <w:r>
              <w:rPr>
                <w:b w:val="0"/>
                <w:i w:val="0"/>
                <w:sz w:val="18"/>
              </w:rPr>
              <w:t>≥95%; suspected rubber-stamps audited</w:t>
            </w:r>
          </w:p>
        </w:tc>
      </w:tr>
      <w:tr>
        <w:tc>
          <w:tcPr>
            <w:tcW w:type="dxa" w:w="1557"/>
          </w:tcPr>
          <w:p>
            <w:pPr>
              <w:spacing w:after="20" w:before="20"/>
            </w:pPr>
            <w:r>
              <w:rPr>
                <w:b/>
                <w:i w:val="0"/>
                <w:sz w:val="18"/>
              </w:rPr>
              <w:t>User experience (sellers)</w:t>
            </w:r>
          </w:p>
        </w:tc>
        <w:tc>
          <w:tcPr>
            <w:tcW w:type="dxa" w:w="5040"/>
          </w:tcPr>
          <w:p>
            <w:pPr>
              <w:spacing w:after="20" w:before="20"/>
            </w:pPr>
            <w:r>
              <w:rPr>
                <w:b w:val="0"/>
                <w:i w:val="0"/>
                <w:sz w:val="18"/>
              </w:rPr>
              <w:t>Deals with a kick-off check before the first proposal; re-check banners followed by a re-run within 2 working days</w:t>
            </w:r>
          </w:p>
        </w:tc>
        <w:tc>
          <w:tcPr>
            <w:tcW w:type="dxa" w:w="2762"/>
          </w:tcPr>
          <w:p>
            <w:pPr>
              <w:spacing w:after="20" w:before="20"/>
            </w:pPr>
            <w:r>
              <w:rPr>
                <w:b w:val="0"/>
                <w:i w:val="0"/>
                <w:sz w:val="18"/>
              </w:rPr>
              <w:t>≥80%; ≥80%</w:t>
            </w:r>
          </w:p>
        </w:tc>
      </w:tr>
      <w:tr>
        <w:tc>
          <w:tcPr>
            <w:tcW w:type="dxa" w:w="1557"/>
          </w:tcPr>
          <w:p>
            <w:pPr>
              <w:spacing w:after="20" w:before="20"/>
            </w:pPr>
            <w:r>
              <w:rPr>
                <w:b/>
                <w:i w:val="0"/>
                <w:sz w:val="18"/>
              </w:rPr>
              <w:t>Learning and coverage</w:t>
            </w:r>
          </w:p>
        </w:tc>
        <w:tc>
          <w:tcPr>
            <w:tcW w:type="dxa" w:w="5040"/>
          </w:tcPr>
          <w:p>
            <w:pPr>
              <w:spacing w:after="20" w:before="20"/>
            </w:pPr>
            <w:r>
              <w:rPr>
                <w:b w:val="0"/>
                <w:i w:val="0"/>
                <w:sz w:val="18"/>
              </w:rPr>
              <w:t>Playbook proposals approved; signed contracts in the verified register</w:t>
            </w:r>
          </w:p>
        </w:tc>
        <w:tc>
          <w:tcPr>
            <w:tcW w:type="dxa" w:w="2762"/>
          </w:tcPr>
          <w:p>
            <w:pPr>
              <w:spacing w:after="20" w:before="20"/>
            </w:pPr>
            <w:r>
              <w:rPr>
                <w:b w:val="0"/>
                <w:i w:val="0"/>
                <w:sz w:val="18"/>
              </w:rPr>
              <w:t>Positions grow beyond the 2024 checklist; 100% of available signed contracts</w:t>
            </w:r>
          </w:p>
        </w:tc>
      </w:tr>
      <w:tr>
        <w:tc>
          <w:tcPr>
            <w:tcW w:type="dxa" w:w="1557"/>
          </w:tcPr>
          <w:p>
            <w:pPr>
              <w:spacing w:after="20" w:before="20"/>
            </w:pPr>
            <w:r>
              <w:rPr>
                <w:b/>
                <w:i w:val="0"/>
                <w:sz w:val="18"/>
              </w:rPr>
              <w:t>Business outcome (lagging)</w:t>
            </w:r>
          </w:p>
        </w:tc>
        <w:tc>
          <w:tcPr>
            <w:tcW w:type="dxa" w:w="5040"/>
          </w:tcPr>
          <w:p>
            <w:pPr>
              <w:spacing w:after="20" w:before="20"/>
            </w:pPr>
            <w:r>
              <w:rPr>
                <w:b w:val="0"/>
                <w:i w:val="0"/>
                <w:sz w:val="18"/>
              </w:rPr>
              <w:t>Deals lost to the queue; disputes from missed clauses; counsel spend and turnaround</w:t>
            </w:r>
          </w:p>
        </w:tc>
        <w:tc>
          <w:tcPr>
            <w:tcW w:type="dxa" w:w="2762"/>
          </w:tcPr>
          <w:p>
            <w:pPr>
              <w:spacing w:after="20" w:before="20"/>
            </w:pPr>
            <w:r>
              <w:rPr>
                <w:b w:val="0"/>
                <w:i w:val="0"/>
                <w:sz w:val="18"/>
              </w:rPr>
              <w:t>0 lost; 0 repeat Brightwater; spend down, turnaround below 5–7 days</w:t>
            </w:r>
          </w:p>
        </w:tc>
      </w:tr>
    </w:tbl>
    <w:p>
      <w:pPr>
        <w:spacing w:after="40"/>
      </w:pPr>
    </w:p>
    <w:p>
      <w:pPr>
        <w:pStyle w:val="Heading1"/>
      </w:pPr>
      <w:r>
        <w:rPr>
          <w:b w:val="0"/>
          <w:i w:val="0"/>
        </w:rPr>
        <w:t>13. Scope and MVP Boundary</w:t>
      </w:r>
    </w:p>
    <w:p>
      <w:pPr>
        <w:pStyle w:val="Heading2"/>
      </w:pPr>
      <w:r>
        <w:rPr>
          <w:b w:val="0"/>
          <w:i w:val="0"/>
        </w:rPr>
        <w:t>13.1 Out of Scope (Permanently)</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Out of scope item</w:t>
            </w:r>
          </w:p>
        </w:tc>
        <w:tc>
          <w:tcPr>
            <w:tcW w:type="dxa" w:w="6703"/>
            <w:shd w:val="clear" w:color="auto" w:fill="DCE6F2"/>
          </w:tcPr>
          <w:p>
            <w:pPr>
              <w:spacing w:after="20" w:before="20"/>
            </w:pPr>
            <w:r>
              <w:rPr>
                <w:b/>
                <w:i w:val="0"/>
                <w:sz w:val="18"/>
              </w:rPr>
              <w:t>Reason / when it may be revisited</w:t>
            </w:r>
          </w:p>
        </w:tc>
      </w:tr>
      <w:tr>
        <w:tc>
          <w:tcPr>
            <w:tcW w:type="dxa" w:w="2656"/>
          </w:tcPr>
          <w:p>
            <w:pPr>
              <w:spacing w:after="20" w:before="20"/>
            </w:pPr>
            <w:r>
              <w:rPr>
                <w:b/>
                <w:i w:val="0"/>
                <w:sz w:val="18"/>
              </w:rPr>
              <w:t>Signing, approving or rejecting contracts</w:t>
            </w:r>
          </w:p>
        </w:tc>
        <w:tc>
          <w:tcPr>
            <w:tcW w:type="dxa" w:w="6703"/>
          </w:tcPr>
          <w:p>
            <w:pPr>
              <w:spacing w:after="20" w:before="20"/>
            </w:pPr>
            <w:r>
              <w:rPr>
                <w:b w:val="0"/>
                <w:i w:val="0"/>
                <w:sz w:val="18"/>
              </w:rPr>
              <w:t>A contract is a legal commitment; Karandeep signs and owns it. Never.</w:t>
            </w:r>
          </w:p>
        </w:tc>
      </w:tr>
      <w:tr>
        <w:tc>
          <w:tcPr>
            <w:tcW w:type="dxa" w:w="2656"/>
          </w:tcPr>
          <w:p>
            <w:pPr>
              <w:spacing w:after="20" w:before="20"/>
            </w:pPr>
            <w:r>
              <w:rPr>
                <w:b/>
                <w:i w:val="0"/>
                <w:sz w:val="18"/>
              </w:rPr>
              <w:t>Sending redlines, emails or notices to counterparties, vendors, counsel or regulators</w:t>
            </w:r>
          </w:p>
        </w:tc>
        <w:tc>
          <w:tcPr>
            <w:tcW w:type="dxa" w:w="6703"/>
          </w:tcPr>
          <w:p>
            <w:pPr>
              <w:spacing w:after="20" w:before="20"/>
            </w:pPr>
            <w:r>
              <w:rPr>
                <w:b w:val="0"/>
                <w:i w:val="0"/>
                <w:sz w:val="18"/>
              </w:rPr>
              <w:t>Human-owned communication; trust and liability. Never.</w:t>
            </w:r>
          </w:p>
        </w:tc>
      </w:tr>
      <w:tr>
        <w:tc>
          <w:tcPr>
            <w:tcW w:type="dxa" w:w="2656"/>
          </w:tcPr>
          <w:p>
            <w:pPr>
              <w:spacing w:after="20" w:before="20"/>
            </w:pPr>
            <w:r>
              <w:rPr>
                <w:b/>
                <w:i w:val="0"/>
                <w:sz w:val="18"/>
              </w:rPr>
              <w:t>Autonomous drafting &amp; negotiation agent (F12)</w:t>
            </w:r>
          </w:p>
        </w:tc>
        <w:tc>
          <w:tcPr>
            <w:tcW w:type="dxa" w:w="6703"/>
          </w:tcPr>
          <w:p>
            <w:pPr>
              <w:spacing w:after="20" w:before="20"/>
            </w:pPr>
            <w:r>
              <w:rPr>
                <w:b w:val="0"/>
                <w:i w:val="0"/>
                <w:sz w:val="18"/>
              </w:rPr>
              <w:t>Error cost too high; breaks core guardrails. Never.</w:t>
            </w:r>
          </w:p>
        </w:tc>
      </w:tr>
      <w:tr>
        <w:tc>
          <w:tcPr>
            <w:tcW w:type="dxa" w:w="2656"/>
          </w:tcPr>
          <w:p>
            <w:pPr>
              <w:spacing w:after="20" w:before="20"/>
            </w:pPr>
            <w:r>
              <w:rPr>
                <w:b/>
                <w:i w:val="0"/>
                <w:sz w:val="18"/>
              </w:rPr>
              <w:t>Legal advice / legal conclusions</w:t>
            </w:r>
          </w:p>
        </w:tc>
        <w:tc>
          <w:tcPr>
            <w:tcW w:type="dxa" w:w="6703"/>
          </w:tcPr>
          <w:p>
            <w:pPr>
              <w:spacing w:after="20" w:before="20"/>
            </w:pPr>
            <w:r>
              <w:rPr>
                <w:b w:val="0"/>
                <w:i w:val="0"/>
                <w:sz w:val="18"/>
              </w:rPr>
              <w:t>Decision support, not a lawyer; interpretive questions go to counsel. Never.</w:t>
            </w:r>
          </w:p>
        </w:tc>
      </w:tr>
      <w:tr>
        <w:tc>
          <w:tcPr>
            <w:tcW w:type="dxa" w:w="2656"/>
          </w:tcPr>
          <w:p>
            <w:pPr>
              <w:spacing w:after="20" w:before="20"/>
            </w:pPr>
            <w:r>
              <w:rPr>
                <w:b/>
                <w:i w:val="0"/>
                <w:sz w:val="18"/>
              </w:rPr>
              <w:t>Government contracts; a mobile app</w:t>
            </w:r>
          </w:p>
        </w:tc>
        <w:tc>
          <w:tcPr>
            <w:tcW w:type="dxa" w:w="6703"/>
          </w:tcPr>
          <w:p>
            <w:pPr>
              <w:spacing w:after="20" w:before="20"/>
            </w:pPr>
            <w:r>
              <w:rPr>
                <w:b w:val="0"/>
                <w:i w:val="0"/>
                <w:sz w:val="18"/>
              </w:rPr>
              <w:t>The MVP covers client, partner and AtliQ-paper (vendor/freelancer) contracts and NDAs, on a web portal. Government contracts and a mobile app may be revisited after the pilot.</w:t>
            </w:r>
          </w:p>
        </w:tc>
      </w:tr>
      <w:tr>
        <w:tc>
          <w:tcPr>
            <w:tcW w:type="dxa" w:w="2656"/>
          </w:tcPr>
          <w:p>
            <w:pPr>
              <w:spacing w:after="20" w:before="20"/>
            </w:pPr>
            <w:r>
              <w:rPr>
                <w:b/>
                <w:i w:val="0"/>
                <w:sz w:val="18"/>
              </w:rPr>
              <w:t>Full contract lifecycle management, e-signature, billing</w:t>
            </w:r>
          </w:p>
        </w:tc>
        <w:tc>
          <w:tcPr>
            <w:tcW w:type="dxa" w:w="6703"/>
          </w:tcPr>
          <w:p>
            <w:pPr>
              <w:spacing w:after="20" w:before="20"/>
            </w:pPr>
            <w:r>
              <w:rPr>
                <w:b w:val="0"/>
                <w:i w:val="0"/>
                <w:sz w:val="18"/>
              </w:rPr>
              <w:t>Brief keeps the lifecycle simple; energy goes to review. Revisit only if review succeeds.</w:t>
            </w:r>
          </w:p>
        </w:tc>
      </w:tr>
    </w:tbl>
    <w:p>
      <w:pPr>
        <w:spacing w:after="40"/>
      </w:pPr>
    </w:p>
    <w:p>
      <w:pPr>
        <w:pStyle w:val="Heading2"/>
      </w:pPr>
      <w:r>
        <w:rPr>
          <w:b w:val="0"/>
          <w:i w:val="0"/>
        </w:rPr>
        <w:t>13.2 V1 Ships vs Later, Deferred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V1 ships</w:t>
            </w:r>
          </w:p>
        </w:tc>
        <w:tc>
          <w:tcPr>
            <w:tcW w:type="dxa" w:w="6703"/>
            <w:shd w:val="clear" w:color="auto" w:fill="DCE6F2"/>
          </w:tcPr>
          <w:p>
            <w:pPr>
              <w:spacing w:after="20" w:before="20"/>
            </w:pPr>
            <w:r>
              <w:rPr>
                <w:b/>
                <w:i w:val="0"/>
                <w:sz w:val="18"/>
              </w:rPr>
              <w:t>Later, explicitly deferred</w:t>
            </w:r>
          </w:p>
        </w:tc>
      </w:tr>
      <w:tr>
        <w:tc>
          <w:tcPr>
            <w:tcW w:type="dxa" w:w="2656"/>
          </w:tcPr>
          <w:p>
            <w:pPr>
              <w:spacing w:after="20" w:before="20"/>
            </w:pPr>
            <w:r>
              <w:rPr>
                <w:b w:val="0"/>
                <w:i w:val="0"/>
                <w:sz w:val="18"/>
              </w:rPr>
              <w:t>F1 Obligations Register</w:t>
            </w:r>
          </w:p>
        </w:tc>
        <w:tc>
          <w:tcPr>
            <w:tcW w:type="dxa" w:w="6703"/>
          </w:tcPr>
          <w:p>
            <w:pPr>
              <w:spacing w:after="20" w:before="20"/>
            </w:pPr>
            <w:r>
              <w:rPr>
                <w:b w:val="0"/>
                <w:i w:val="0"/>
                <w:sz w:val="18"/>
              </w:rPr>
              <w:t>F9 Redline &amp; Reply Drafts (after F3/F4 accuracy is proven)</w:t>
            </w:r>
          </w:p>
        </w:tc>
      </w:tr>
      <w:tr>
        <w:tc>
          <w:tcPr>
            <w:tcW w:type="dxa" w:w="2656"/>
          </w:tcPr>
          <w:p>
            <w:pPr>
              <w:spacing w:after="20" w:before="20"/>
            </w:pPr>
            <w:r>
              <w:rPr>
                <w:b w:val="0"/>
                <w:i w:val="0"/>
                <w:sz w:val="18"/>
              </w:rPr>
              <w:t>F2 Intake &amp; Gate Check (+ NDA fast lane; PDF, Word and scanned files)</w:t>
            </w:r>
          </w:p>
        </w:tc>
        <w:tc>
          <w:tcPr>
            <w:tcW w:type="dxa" w:w="6703"/>
          </w:tcPr>
          <w:p>
            <w:pPr>
              <w:spacing w:after="20" w:before="20"/>
            </w:pPr>
            <w:r>
              <w:rPr>
                <w:b w:val="0"/>
                <w:i w:val="0"/>
                <w:sz w:val="18"/>
              </w:rPr>
              <w:t>F10 Template Drift Check + Obligation Date Alerts (post-signing dates)</w:t>
            </w:r>
          </w:p>
        </w:tc>
      </w:tr>
      <w:tr>
        <w:tc>
          <w:tcPr>
            <w:tcW w:type="dxa" w:w="2656"/>
          </w:tcPr>
          <w:p>
            <w:pPr>
              <w:spacing w:after="20" w:before="20"/>
            </w:pPr>
            <w:r>
              <w:rPr>
                <w:b w:val="0"/>
                <w:i w:val="0"/>
                <w:sz w:val="18"/>
              </w:rPr>
              <w:t>F3 Cross-Contract Conflict Check</w:t>
            </w:r>
          </w:p>
        </w:tc>
        <w:tc>
          <w:tcPr>
            <w:tcW w:type="dxa" w:w="6703"/>
          </w:tcPr>
          <w:p>
            <w:pPr>
              <w:spacing w:after="20" w:before="20"/>
            </w:pPr>
            <w:r>
              <w:rPr>
                <w:b w:val="0"/>
                <w:i w:val="0"/>
                <w:sz w:val="18"/>
              </w:rPr>
              <w:t>F11 Seller Open Q&amp;A (only if F7 usage shows unmet questions)</w:t>
            </w:r>
          </w:p>
        </w:tc>
      </w:tr>
      <w:tr>
        <w:tc>
          <w:tcPr>
            <w:tcW w:type="dxa" w:w="2656"/>
          </w:tcPr>
          <w:p>
            <w:pPr>
              <w:spacing w:after="20" w:before="20"/>
            </w:pPr>
          </w:p>
        </w:tc>
        <w:tc>
          <w:tcPr>
            <w:tcW w:type="dxa" w:w="6703"/>
          </w:tcPr>
          <w:p>
            <w:pPr>
              <w:spacing w:after="20" w:before="20"/>
            </w:pPr>
            <w:r>
              <w:rPr>
                <w:b w:val="0"/>
                <w:i w:val="0"/>
                <w:sz w:val="18"/>
              </w:rPr>
              <w:t>Push/email notifications for the seller re-check banner (in-app only in V1)</w:t>
            </w:r>
          </w:p>
        </w:tc>
      </w:tr>
      <w:tr>
        <w:tc>
          <w:tcPr>
            <w:tcW w:type="dxa" w:w="2656"/>
          </w:tcPr>
          <w:p>
            <w:pPr>
              <w:spacing w:after="20" w:before="20"/>
            </w:pPr>
          </w:p>
        </w:tc>
        <w:tc>
          <w:tcPr>
            <w:tcW w:type="dxa" w:w="6703"/>
          </w:tcPr>
          <w:p>
            <w:pPr>
              <w:spacing w:after="20" w:before="20"/>
            </w:pPr>
            <w:r>
              <w:rPr>
                <w:b w:val="0"/>
                <w:i w:val="0"/>
                <w:sz w:val="18"/>
              </w:rPr>
              <w:t>Live intake integrations: contracts arriving by email (contracts@ forwarding), watched Drive folders, calendar/meeting-note sync (V1 = upload + one-time tracker import)</w:t>
            </w:r>
          </w:p>
        </w:tc>
      </w:tr>
      <w:tr>
        <w:tc>
          <w:tcPr>
            <w:tcW w:type="dxa" w:w="2656"/>
          </w:tcPr>
          <w:p>
            <w:pPr>
              <w:spacing w:after="20" w:before="20"/>
            </w:pPr>
            <w:r>
              <w:rPr>
                <w:b w:val="0"/>
                <w:i w:val="0"/>
                <w:sz w:val="18"/>
              </w:rPr>
              <w:t>F4 Playbook &amp; Fairness Check</w:t>
            </w:r>
          </w:p>
        </w:tc>
        <w:tc>
          <w:tcPr>
            <w:tcW w:type="dxa" w:w="6703"/>
          </w:tcPr>
          <w:p>
            <w:pPr>
              <w:spacing w:after="20" w:before="20"/>
            </w:pPr>
            <w:r>
              <w:rPr>
                <w:b w:val="0"/>
                <w:i w:val="0"/>
                <w:sz w:val="18"/>
              </w:rPr>
              <w:t>Inbox/drive auto-discovery of contracts</w:t>
            </w:r>
          </w:p>
        </w:tc>
      </w:tr>
      <w:tr>
        <w:tc>
          <w:tcPr>
            <w:tcW w:type="dxa" w:w="2656"/>
          </w:tcPr>
          <w:p>
            <w:pPr>
              <w:spacing w:after="20" w:before="20"/>
            </w:pPr>
            <w:r>
              <w:rPr>
                <w:b w:val="0"/>
                <w:i w:val="0"/>
                <w:sz w:val="18"/>
              </w:rPr>
              <w:t>F5 Deal Bundle &amp; Data Readiness</w:t>
            </w:r>
          </w:p>
        </w:tc>
        <w:tc>
          <w:tcPr>
            <w:tcW w:type="dxa" w:w="6703"/>
          </w:tcPr>
          <w:p>
            <w:pPr>
              <w:spacing w:after="20" w:before="20"/>
            </w:pPr>
            <w:r>
              <w:rPr>
                <w:b w:val="0"/>
                <w:i w:val="0"/>
                <w:sz w:val="18"/>
              </w:rPr>
              <w:t>Drafting AtliQ paper from scratch</w:t>
            </w:r>
          </w:p>
        </w:tc>
      </w:tr>
      <w:tr>
        <w:tc>
          <w:tcPr>
            <w:tcW w:type="dxa" w:w="2656"/>
          </w:tcPr>
          <w:p>
            <w:pPr>
              <w:spacing w:after="20" w:before="20"/>
            </w:pPr>
            <w:r>
              <w:rPr>
                <w:b w:val="0"/>
                <w:i w:val="0"/>
                <w:sz w:val="18"/>
              </w:rPr>
              <w:t>F6 Decision Brief &amp; Counsel Pack</w:t>
            </w:r>
          </w:p>
        </w:tc>
        <w:tc>
          <w:tcPr>
            <w:tcW w:type="dxa" w:w="6703"/>
          </w:tcPr>
          <w:p>
            <w:pPr>
              <w:spacing w:after="20" w:before="20"/>
            </w:pPr>
          </w:p>
        </w:tc>
      </w:tr>
      <w:tr>
        <w:tc>
          <w:tcPr>
            <w:tcW w:type="dxa" w:w="2656"/>
          </w:tcPr>
          <w:p>
            <w:pPr>
              <w:spacing w:after="20" w:before="20"/>
            </w:pPr>
            <w:r>
              <w:rPr>
                <w:b w:val="0"/>
                <w:i w:val="0"/>
                <w:sz w:val="18"/>
              </w:rPr>
              <w:t>F7 Deal Kick-off Check (sellers)</w:t>
            </w:r>
          </w:p>
        </w:tc>
        <w:tc>
          <w:tcPr>
            <w:tcW w:type="dxa" w:w="6703"/>
          </w:tcPr>
          <w:p>
            <w:pPr>
              <w:spacing w:after="20" w:before="20"/>
            </w:pPr>
          </w:p>
        </w:tc>
      </w:tr>
      <w:tr>
        <w:tc>
          <w:tcPr>
            <w:tcW w:type="dxa" w:w="2656"/>
          </w:tcPr>
          <w:p>
            <w:pPr>
              <w:spacing w:after="20" w:before="20"/>
            </w:pPr>
            <w:r>
              <w:rPr>
                <w:b w:val="0"/>
                <w:i w:val="0"/>
                <w:sz w:val="18"/>
              </w:rPr>
              <w:t>F8 Contract Queue &amp; Deadlines (non-AI: due in / overdue)</w:t>
            </w:r>
          </w:p>
        </w:tc>
        <w:tc>
          <w:tcPr>
            <w:tcW w:type="dxa" w:w="6703"/>
          </w:tcPr>
          <w:p>
            <w:pPr>
              <w:spacing w:after="20" w:before="20"/>
            </w:pPr>
            <w:r>
              <w:rPr>
                <w:b w:val="0"/>
                <w:i w:val="0"/>
                <w:sz w:val="18"/>
              </w:rPr>
              <w:t>Separate flow for upsells or renewals with prices already agreed; V1 treats every contract as a new review</w:t>
            </w:r>
          </w:p>
        </w:tc>
      </w:tr>
      <w:tr>
        <w:tc>
          <w:tcPr>
            <w:tcW w:type="dxa" w:w="2656"/>
          </w:tcPr>
          <w:p>
            <w:pPr>
              <w:spacing w:after="20" w:before="20"/>
            </w:pPr>
          </w:p>
        </w:tc>
        <w:tc>
          <w:tcPr>
            <w:tcW w:type="dxa" w:w="6703"/>
          </w:tcPr>
          <w:p>
            <w:pPr>
              <w:spacing w:after="20" w:before="20"/>
            </w:pPr>
            <w:r>
              <w:rPr>
                <w:b w:val="0"/>
                <w:i w:val="0"/>
                <w:sz w:val="18"/>
              </w:rPr>
              <w:t>Searchable history of past contracts (client: good to have)</w:t>
            </w:r>
          </w:p>
        </w:tc>
      </w:tr>
      <w:tr>
        <w:tc>
          <w:tcPr>
            <w:tcW w:type="dxa" w:w="2656"/>
          </w:tcPr>
          <w:p>
            <w:pPr>
              <w:spacing w:after="20" w:before="20"/>
            </w:pPr>
          </w:p>
        </w:tc>
        <w:tc>
          <w:tcPr>
            <w:tcW w:type="dxa" w:w="6703"/>
          </w:tcPr>
          <w:p>
            <w:pPr>
              <w:spacing w:after="20" w:before="20"/>
            </w:pPr>
            <w:r>
              <w:rPr>
                <w:b w:val="0"/>
                <w:i w:val="0"/>
                <w:sz w:val="18"/>
              </w:rPr>
              <w:t>Suggested counter wording beyond the playbook's fair position (client: good to have; F9)</w:t>
            </w:r>
          </w:p>
        </w:tc>
      </w:tr>
    </w:tbl>
    <w:p>
      <w:pPr>
        <w:spacing w:after="40"/>
      </w:pPr>
    </w:p>
    <w:p>
      <w:pPr>
        <w:pStyle w:val="Heading1"/>
      </w:pPr>
      <w:r>
        <w:rPr>
          <w:b w:val="0"/>
          <w:i w:val="0"/>
        </w:rPr>
        <w:t>14. Rollout and Release Strategy (tentative)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56"/>
        <w:gridCol w:w="6703"/>
      </w:tblGrid>
      <w:tr>
        <w:trPr>
          <w:tblHeader/>
        </w:trPr>
        <w:tc>
          <w:tcPr>
            <w:tcW w:type="dxa" w:w="2656"/>
            <w:shd w:val="clear" w:color="auto" w:fill="DCE6F2"/>
          </w:tcPr>
          <w:p>
            <w:pPr>
              <w:spacing w:after="20" w:before="20"/>
            </w:pPr>
            <w:r>
              <w:rPr>
                <w:b/>
                <w:i w:val="0"/>
                <w:sz w:val="18"/>
              </w:rPr>
              <w:t>Stage</w:t>
            </w:r>
          </w:p>
        </w:tc>
        <w:tc>
          <w:tcPr>
            <w:tcW w:type="dxa" w:w="6703"/>
            <w:shd w:val="clear" w:color="auto" w:fill="DCE6F2"/>
          </w:tcPr>
          <w:p>
            <w:pPr>
              <w:spacing w:after="20" w:before="20"/>
            </w:pPr>
            <w:r>
              <w:rPr>
                <w:b/>
                <w:i w:val="0"/>
                <w:sz w:val="18"/>
              </w:rPr>
              <w:t>Definition and gate condition</w:t>
            </w:r>
          </w:p>
        </w:tc>
      </w:tr>
      <w:tr>
        <w:tc>
          <w:tcPr>
            <w:tcW w:type="dxa" w:w="2656"/>
          </w:tcPr>
          <w:p>
            <w:pPr>
              <w:spacing w:after="20" w:before="20"/>
            </w:pPr>
            <w:r>
              <w:rPr>
                <w:b/>
                <w:i w:val="0"/>
                <w:sz w:val="18"/>
              </w:rPr>
              <w:t>Stage 1: Offline eval</w:t>
            </w:r>
          </w:p>
        </w:tc>
        <w:tc>
          <w:tcPr>
            <w:tcW w:type="dxa" w:w="6703"/>
          </w:tcPr>
          <w:p>
            <w:pPr>
              <w:spacing w:after="20" w:before="20"/>
            </w:pPr>
            <w:r>
              <w:rPr>
                <w:b w:val="0"/>
                <w:i w:val="0"/>
                <w:sz w:val="18"/>
              </w:rPr>
              <w:t>Run on the eval set (</w:t>
            </w:r>
            <w:r>
              <w:rPr>
                <w:rFonts w:ascii="Consolas" w:hAnsi="Consolas"/>
                <w:b w:val="0"/>
                <w:i w:val="0"/>
                <w:sz w:val="18"/>
              </w:rPr>
              <w:t>Eval_Set.md</w:t>
            </w:r>
            <w:r>
              <w:rPr>
                <w:b w:val="0"/>
                <w:i w:val="0"/>
                <w:sz w:val="18"/>
              </w:rPr>
              <w:t xml:space="preserve">). </w:t>
            </w:r>
            <w:r>
              <w:br/>
            </w:r>
            <w:r>
              <w:rPr>
                <w:b/>
                <w:i w:val="0"/>
                <w:sz w:val="18"/>
              </w:rPr>
              <w:t>Gate:</w:t>
            </w:r>
            <w:r>
              <w:rPr>
                <w:b w:val="0"/>
                <w:i w:val="0"/>
                <w:sz w:val="18"/>
              </w:rPr>
              <w:t xml:space="preserve"> all §11 thresholds met; 100% on compliance-alert cases; 0 guardrail violations.</w:t>
            </w:r>
          </w:p>
        </w:tc>
      </w:tr>
      <w:tr>
        <w:tc>
          <w:tcPr>
            <w:tcW w:type="dxa" w:w="2656"/>
          </w:tcPr>
          <w:p>
            <w:pPr>
              <w:spacing w:after="20" w:before="20"/>
            </w:pPr>
            <w:r>
              <w:rPr>
                <w:b/>
                <w:i w:val="0"/>
                <w:sz w:val="18"/>
              </w:rPr>
              <w:t>Stage 2: Register build &amp; verification</w:t>
            </w:r>
          </w:p>
        </w:tc>
        <w:tc>
          <w:tcPr>
            <w:tcW w:type="dxa" w:w="6703"/>
          </w:tcPr>
          <w:p>
            <w:pPr>
              <w:spacing w:after="20" w:before="20"/>
            </w:pPr>
            <w:r>
              <w:rPr>
                <w:b w:val="0"/>
                <w:i w:val="0"/>
                <w:sz w:val="18"/>
              </w:rPr>
              <w:t xml:space="preserve">Build the register from all available signed contracts (entries usable immediately, labelled until verified); Karandeep verifies entries and tags past decisions (~30 min). </w:t>
            </w:r>
            <w:r>
              <w:br/>
            </w:r>
            <w:r>
              <w:rPr>
                <w:b/>
                <w:i w:val="0"/>
                <w:sz w:val="18"/>
              </w:rPr>
              <w:t>Gate:</w:t>
            </w:r>
            <w:r>
              <w:rPr>
                <w:b w:val="0"/>
                <w:i w:val="0"/>
                <w:sz w:val="18"/>
              </w:rPr>
              <w:t xml:space="preserve"> live restrictions verified; playbook approved v1.</w:t>
            </w:r>
          </w:p>
        </w:tc>
      </w:tr>
      <w:tr>
        <w:tc>
          <w:tcPr>
            <w:tcW w:type="dxa" w:w="2656"/>
          </w:tcPr>
          <w:p>
            <w:pPr>
              <w:spacing w:after="20" w:before="20"/>
            </w:pPr>
            <w:r>
              <w:rPr>
                <w:b/>
                <w:i w:val="0"/>
                <w:sz w:val="18"/>
              </w:rPr>
              <w:t>Stage 3: Shadow mode (4 weeks)</w:t>
            </w:r>
          </w:p>
        </w:tc>
        <w:tc>
          <w:tcPr>
            <w:tcW w:type="dxa" w:w="6703"/>
          </w:tcPr>
          <w:p>
            <w:pPr>
              <w:spacing w:after="20" w:before="20"/>
            </w:pPr>
            <w:r>
              <w:rPr>
                <w:b w:val="0"/>
                <w:i w:val="0"/>
                <w:sz w:val="18"/>
              </w:rPr>
              <w:t xml:space="preserve">Every new contract gets a brief; Karandeep reviews as usual, then compares. </w:t>
            </w:r>
            <w:r>
              <w:br/>
            </w:r>
            <w:r>
              <w:rPr>
                <w:b/>
                <w:i w:val="0"/>
                <w:sz w:val="18"/>
              </w:rPr>
              <w:t>Gate:</w:t>
            </w:r>
            <w:r>
              <w:rPr>
                <w:b w:val="0"/>
                <w:i w:val="0"/>
                <w:sz w:val="18"/>
              </w:rPr>
              <w:t xml:space="preserve"> ≥85% blocker acceptance; 0 missed compliance alerts; false alarms on clean contracts tracked and falling week on week (over-flag rather than miss).</w:t>
            </w:r>
          </w:p>
        </w:tc>
      </w:tr>
      <w:tr>
        <w:tc>
          <w:tcPr>
            <w:tcW w:type="dxa" w:w="2656"/>
          </w:tcPr>
          <w:p>
            <w:pPr>
              <w:spacing w:after="20" w:before="20"/>
            </w:pPr>
            <w:r>
              <w:rPr>
                <w:b/>
                <w:i w:val="0"/>
                <w:sz w:val="18"/>
              </w:rPr>
              <w:t>Stage 4: Assisted review</w:t>
            </w:r>
          </w:p>
        </w:tc>
        <w:tc>
          <w:tcPr>
            <w:tcW w:type="dxa" w:w="6703"/>
          </w:tcPr>
          <w:p>
            <w:pPr>
              <w:spacing w:after="20" w:before="20"/>
            </w:pPr>
            <w:r>
              <w:rPr>
                <w:b w:val="0"/>
                <w:i w:val="0"/>
                <w:sz w:val="18"/>
              </w:rPr>
              <w:t xml:space="preserve">Karandeep reviews </w:t>
            </w:r>
            <w:r>
              <w:rPr>
                <w:b w:val="0"/>
                <w:i/>
                <w:sz w:val="18"/>
              </w:rPr>
              <w:t>from</w:t>
            </w:r>
            <w:r>
              <w:rPr>
                <w:b w:val="0"/>
                <w:i w:val="0"/>
                <w:sz w:val="18"/>
              </w:rPr>
              <w:t xml:space="preserve"> the brief; sellers start using the kick-off form. </w:t>
            </w:r>
            <w:r>
              <w:br/>
            </w:r>
            <w:r>
              <w:rPr>
                <w:b/>
                <w:i w:val="0"/>
                <w:sz w:val="18"/>
              </w:rPr>
              <w:t>Gate:</w:t>
            </w:r>
            <w:r>
              <w:rPr>
                <w:b w:val="0"/>
                <w:i w:val="0"/>
                <w:sz w:val="18"/>
              </w:rPr>
              <w:t xml:space="preserve"> decide-from-brief rate ≥80% for 4 consecutive weeks; "had to dig" and false-alarm rates trending down.</w:t>
            </w:r>
          </w:p>
        </w:tc>
      </w:tr>
      <w:tr>
        <w:tc>
          <w:tcPr>
            <w:tcW w:type="dxa" w:w="2656"/>
          </w:tcPr>
          <w:p>
            <w:pPr>
              <w:spacing w:after="20" w:before="20"/>
            </w:pPr>
            <w:r>
              <w:rPr>
                <w:b/>
                <w:i w:val="0"/>
                <w:sz w:val="18"/>
              </w:rPr>
              <w:t>Stage 5: Default</w:t>
            </w:r>
          </w:p>
        </w:tc>
        <w:tc>
          <w:tcPr>
            <w:tcW w:type="dxa" w:w="6703"/>
          </w:tcPr>
          <w:p>
            <w:pPr>
              <w:spacing w:after="20" w:before="20"/>
            </w:pPr>
            <w:r>
              <w:rPr>
                <w:b w:val="0"/>
                <w:i w:val="0"/>
                <w:sz w:val="18"/>
              </w:rPr>
              <w:t xml:space="preserve">All contracts and deals go through Yours Legally, counsel escalations go via counsel packs. </w:t>
            </w:r>
            <w:r>
              <w:br/>
            </w:r>
            <w:r>
              <w:rPr>
                <w:b/>
                <w:i w:val="0"/>
                <w:sz w:val="18"/>
              </w:rPr>
              <w:t>Gate:</w:t>
            </w:r>
            <w:r>
              <w:rPr>
                <w:b w:val="0"/>
                <w:i w:val="0"/>
                <w:sz w:val="18"/>
              </w:rPr>
              <w:t xml:space="preserve"> decide-from-brief rate ≥90%; no repeat incident.</w:t>
            </w:r>
          </w:p>
        </w:tc>
      </w:tr>
    </w:tbl>
    <w:p>
      <w:pPr>
        <w:spacing w:after="40"/>
      </w:pPr>
    </w:p>
    <w:p>
      <w:pPr>
        <w:pStyle w:val="Heading2"/>
      </w:pPr>
      <w:r>
        <w:rPr>
          <w:b w:val="0"/>
          <w:i w:val="0"/>
        </w:rPr>
        <w:t>14.1 Kill Switch Conditions</w:t>
      </w:r>
    </w:p>
    <w:p>
      <w:r>
        <w:rPr>
          <w:b w:val="0"/>
          <w:i w:val="0"/>
        </w:rPr>
        <w:t>Immediate rollback to manual review if any of the following occur:</w:t>
      </w:r>
    </w:p>
    <w:p>
      <w:pPr>
        <w:pStyle w:val="ListParagraph"/>
        <w:numPr>
          <w:ilvl w:val="0"/>
          <w:numId w:val="90"/>
        </w:numPr>
        <w:spacing w:after="40"/>
      </w:pPr>
      <w:r>
        <w:rPr>
          <w:b w:val="0"/>
          <w:i w:val="0"/>
        </w:rPr>
        <w:t>A compliance event or a live-commitment conflict is missed and reaches signing.</w:t>
      </w:r>
    </w:p>
    <w:p>
      <w:pPr>
        <w:pStyle w:val="ListParagraph"/>
        <w:numPr>
          <w:ilvl w:val="0"/>
          <w:numId w:val="90"/>
        </w:numPr>
        <w:spacing w:after="40"/>
      </w:pPr>
      <w:r>
        <w:rPr>
          <w:b w:val="0"/>
          <w:i w:val="0"/>
        </w:rPr>
        <w:t>Any finding is shown with a fabricated or mismatched citation.</w:t>
      </w:r>
    </w:p>
    <w:p>
      <w:pPr>
        <w:pStyle w:val="ListParagraph"/>
        <w:numPr>
          <w:ilvl w:val="0"/>
          <w:numId w:val="90"/>
        </w:numPr>
        <w:spacing w:after="40"/>
      </w:pPr>
      <w:r>
        <w:rPr>
          <w:b w:val="0"/>
          <w:i w:val="0"/>
        </w:rPr>
        <w:t>Any outbound communication or approval occurs without a human action.</w:t>
      </w:r>
    </w:p>
    <w:p>
      <w:pPr>
        <w:pStyle w:val="ListParagraph"/>
        <w:numPr>
          <w:ilvl w:val="0"/>
          <w:numId w:val="90"/>
        </w:numPr>
        <w:spacing w:after="40"/>
      </w:pPr>
      <w:r>
        <w:rPr>
          <w:b w:val="0"/>
          <w:i w:val="0"/>
        </w:rPr>
        <w:t>Confidential terms of one client are exposed to an unauthorised user.</w:t>
      </w:r>
    </w:p>
    <w:p>
      <w:pPr>
        <w:pStyle w:val="Heading1"/>
      </w:pPr>
      <w:r>
        <w:rPr>
          <w:b w:val="0"/>
          <w:i w:val="0"/>
        </w:rPr>
        <w:t>15. Timeline and Milestones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87"/>
        <w:gridCol w:w="1272"/>
        <w:gridCol w:w="2900"/>
      </w:tblGrid>
      <w:tr>
        <w:trPr>
          <w:tblHeader/>
        </w:trPr>
        <w:tc>
          <w:tcPr>
            <w:tcW w:type="dxa" w:w="5187"/>
            <w:shd w:val="clear" w:color="auto" w:fill="DCE6F2"/>
          </w:tcPr>
          <w:p>
            <w:pPr>
              <w:spacing w:after="20" w:before="20"/>
            </w:pPr>
            <w:r>
              <w:rPr>
                <w:b/>
                <w:i w:val="0"/>
                <w:sz w:val="18"/>
              </w:rPr>
              <w:t>Milestone</w:t>
            </w:r>
          </w:p>
        </w:tc>
        <w:tc>
          <w:tcPr>
            <w:tcW w:type="dxa" w:w="1272"/>
            <w:shd w:val="clear" w:color="auto" w:fill="DCE6F2"/>
          </w:tcPr>
          <w:p>
            <w:pPr>
              <w:spacing w:after="20" w:before="20"/>
            </w:pPr>
            <w:r>
              <w:rPr>
                <w:b/>
                <w:i w:val="0"/>
                <w:sz w:val="18"/>
              </w:rPr>
              <w:t>Timing</w:t>
            </w:r>
          </w:p>
        </w:tc>
        <w:tc>
          <w:tcPr>
            <w:tcW w:type="dxa" w:w="2900"/>
            <w:shd w:val="clear" w:color="auto" w:fill="DCE6F2"/>
          </w:tcPr>
          <w:p>
            <w:pPr>
              <w:spacing w:after="20" w:before="20"/>
            </w:pPr>
            <w:r>
              <w:rPr>
                <w:b/>
                <w:i w:val="0"/>
                <w:sz w:val="18"/>
              </w:rPr>
              <w:t>Owner / gate</w:t>
            </w:r>
          </w:p>
        </w:tc>
      </w:tr>
      <w:tr>
        <w:tc>
          <w:tcPr>
            <w:tcW w:type="dxa" w:w="5187"/>
          </w:tcPr>
          <w:p>
            <w:pPr>
              <w:spacing w:after="20" w:before="20"/>
            </w:pPr>
            <w:r>
              <w:rPr>
                <w:b w:val="0"/>
                <w:i w:val="0"/>
                <w:sz w:val="18"/>
              </w:rPr>
              <w:t>Prototype built and evaluated on the dataset (Stage 1: offline eval)</w:t>
            </w:r>
          </w:p>
        </w:tc>
        <w:tc>
          <w:tcPr>
            <w:tcW w:type="dxa" w:w="1272"/>
          </w:tcPr>
          <w:p>
            <w:pPr>
              <w:spacing w:after="20" w:before="20"/>
            </w:pPr>
            <w:r>
              <w:rPr>
                <w:b w:val="0"/>
                <w:i w:val="0"/>
                <w:sz w:val="18"/>
              </w:rPr>
              <w:t>Done</w:t>
            </w:r>
          </w:p>
        </w:tc>
        <w:tc>
          <w:tcPr>
            <w:tcW w:type="dxa" w:w="2900"/>
          </w:tcPr>
          <w:p>
            <w:pPr>
              <w:spacing w:after="20" w:before="20"/>
            </w:pPr>
            <w:r>
              <w:rPr>
                <w:b w:val="0"/>
                <w:i w:val="0"/>
                <w:sz w:val="18"/>
              </w:rPr>
              <w:t>Product + Eng; results in §11</w:t>
            </w:r>
          </w:p>
        </w:tc>
      </w:tr>
      <w:tr>
        <w:tc>
          <w:tcPr>
            <w:tcW w:type="dxa" w:w="5187"/>
          </w:tcPr>
          <w:p>
            <w:pPr>
              <w:spacing w:after="20" w:before="20"/>
            </w:pPr>
            <w:r>
              <w:rPr>
                <w:b w:val="0"/>
                <w:i w:val="0"/>
                <w:sz w:val="18"/>
              </w:rPr>
              <w:t>Production readiness: work-account sign-in, database, paid AI tier with zero-retention terms, full masking (name detection, local OCR), conflict check extended to all commitment kinds</w:t>
            </w:r>
          </w:p>
        </w:tc>
        <w:tc>
          <w:tcPr>
            <w:tcW w:type="dxa" w:w="1272"/>
          </w:tcPr>
          <w:p>
            <w:pPr>
              <w:spacing w:after="20" w:before="20"/>
            </w:pPr>
            <w:r>
              <w:rPr>
                <w:b w:val="0"/>
                <w:i w:val="0"/>
                <w:sz w:val="18"/>
              </w:rPr>
              <w:t>Weeks 1–4</w:t>
            </w:r>
          </w:p>
        </w:tc>
        <w:tc>
          <w:tcPr>
            <w:tcW w:type="dxa" w:w="2900"/>
          </w:tcPr>
          <w:p>
            <w:pPr>
              <w:spacing w:after="20" w:before="20"/>
            </w:pPr>
            <w:r>
              <w:rPr>
                <w:b w:val="0"/>
                <w:i w:val="0"/>
                <w:sz w:val="18"/>
              </w:rPr>
              <w:t>Eng; vendor review and §16 legal questions closed</w:t>
            </w:r>
          </w:p>
        </w:tc>
      </w:tr>
      <w:tr>
        <w:tc>
          <w:tcPr>
            <w:tcW w:type="dxa" w:w="5187"/>
          </w:tcPr>
          <w:p>
            <w:pPr>
              <w:spacing w:after="20" w:before="20"/>
            </w:pPr>
            <w:r>
              <w:rPr>
                <w:b w:val="0"/>
                <w:i w:val="0"/>
                <w:sz w:val="18"/>
              </w:rPr>
              <w:t>Stage 2: register build and verification; playbook approved</w:t>
            </w:r>
          </w:p>
        </w:tc>
        <w:tc>
          <w:tcPr>
            <w:tcW w:type="dxa" w:w="1272"/>
          </w:tcPr>
          <w:p>
            <w:pPr>
              <w:spacing w:after="20" w:before="20"/>
            </w:pPr>
            <w:r>
              <w:rPr>
                <w:b w:val="0"/>
                <w:i w:val="0"/>
                <w:sz w:val="18"/>
              </w:rPr>
              <w:t>Weeks 3–4</w:t>
            </w:r>
          </w:p>
        </w:tc>
        <w:tc>
          <w:tcPr>
            <w:tcW w:type="dxa" w:w="2900"/>
          </w:tcPr>
          <w:p>
            <w:pPr>
              <w:spacing w:after="20" w:before="20"/>
            </w:pPr>
            <w:r>
              <w:rPr>
                <w:b w:val="0"/>
                <w:i w:val="0"/>
                <w:sz w:val="18"/>
              </w:rPr>
              <w:t>Karandeep (~30-minute tagging session, entry verification)</w:t>
            </w:r>
          </w:p>
        </w:tc>
      </w:tr>
      <w:tr>
        <w:tc>
          <w:tcPr>
            <w:tcW w:type="dxa" w:w="5187"/>
          </w:tcPr>
          <w:p>
            <w:pPr>
              <w:spacing w:after="20" w:before="20"/>
            </w:pPr>
            <w:r>
              <w:rPr>
                <w:b w:val="0"/>
                <w:i w:val="0"/>
                <w:sz w:val="18"/>
              </w:rPr>
              <w:t>Stage 3: shadow mode</w:t>
            </w:r>
          </w:p>
        </w:tc>
        <w:tc>
          <w:tcPr>
            <w:tcW w:type="dxa" w:w="1272"/>
          </w:tcPr>
          <w:p>
            <w:pPr>
              <w:spacing w:after="20" w:before="20"/>
            </w:pPr>
            <w:r>
              <w:rPr>
                <w:b w:val="0"/>
                <w:i w:val="0"/>
                <w:sz w:val="18"/>
              </w:rPr>
              <w:t>Weeks 5–8</w:t>
            </w:r>
          </w:p>
        </w:tc>
        <w:tc>
          <w:tcPr>
            <w:tcW w:type="dxa" w:w="2900"/>
          </w:tcPr>
          <w:p>
            <w:pPr>
              <w:spacing w:after="20" w:before="20"/>
            </w:pPr>
            <w:r>
              <w:rPr>
                <w:b w:val="0"/>
                <w:i w:val="0"/>
                <w:sz w:val="18"/>
              </w:rPr>
              <w:t>Karandeep + Product; gate in §14</w:t>
            </w:r>
          </w:p>
        </w:tc>
      </w:tr>
      <w:tr>
        <w:tc>
          <w:tcPr>
            <w:tcW w:type="dxa" w:w="5187"/>
          </w:tcPr>
          <w:p>
            <w:pPr>
              <w:spacing w:after="20" w:before="20"/>
            </w:pPr>
            <w:r>
              <w:rPr>
                <w:b w:val="0"/>
                <w:i w:val="0"/>
                <w:sz w:val="18"/>
              </w:rPr>
              <w:t>Stage 4: assisted review; sellers start the kick-off check</w:t>
            </w:r>
          </w:p>
        </w:tc>
        <w:tc>
          <w:tcPr>
            <w:tcW w:type="dxa" w:w="1272"/>
          </w:tcPr>
          <w:p>
            <w:pPr>
              <w:spacing w:after="20" w:before="20"/>
            </w:pPr>
            <w:r>
              <w:rPr>
                <w:b w:val="0"/>
                <w:i w:val="0"/>
                <w:sz w:val="18"/>
              </w:rPr>
              <w:t>Weeks 9–12</w:t>
            </w:r>
          </w:p>
        </w:tc>
        <w:tc>
          <w:tcPr>
            <w:tcW w:type="dxa" w:w="2900"/>
          </w:tcPr>
          <w:p>
            <w:pPr>
              <w:spacing w:after="20" w:before="20"/>
            </w:pPr>
            <w:r>
              <w:rPr>
                <w:b w:val="0"/>
                <w:i w:val="0"/>
                <w:sz w:val="18"/>
              </w:rPr>
              <w:t>Karandeep + sellers; gate in §14</w:t>
            </w:r>
          </w:p>
        </w:tc>
      </w:tr>
      <w:tr>
        <w:tc>
          <w:tcPr>
            <w:tcW w:type="dxa" w:w="5187"/>
          </w:tcPr>
          <w:p>
            <w:pPr>
              <w:spacing w:after="20" w:before="20"/>
            </w:pPr>
            <w:r>
              <w:rPr>
                <w:b w:val="0"/>
                <w:i w:val="0"/>
                <w:sz w:val="18"/>
              </w:rPr>
              <w:t>Stage 5: default for all contracts</w:t>
            </w:r>
          </w:p>
        </w:tc>
        <w:tc>
          <w:tcPr>
            <w:tcW w:type="dxa" w:w="1272"/>
          </w:tcPr>
          <w:p>
            <w:pPr>
              <w:spacing w:after="20" w:before="20"/>
            </w:pPr>
            <w:r>
              <w:rPr>
                <w:b w:val="0"/>
                <w:i w:val="0"/>
                <w:sz w:val="18"/>
              </w:rPr>
              <w:t>From week 13, once the Stage 4 gate is met</w:t>
            </w:r>
          </w:p>
        </w:tc>
        <w:tc>
          <w:tcPr>
            <w:tcW w:type="dxa" w:w="2900"/>
          </w:tcPr>
          <w:p>
            <w:pPr>
              <w:spacing w:after="20" w:before="20"/>
            </w:pPr>
            <w:r>
              <w:rPr>
                <w:b w:val="0"/>
                <w:i w:val="0"/>
                <w:sz w:val="18"/>
              </w:rPr>
              <w:t>Product; kill switch in §14.1</w:t>
            </w:r>
          </w:p>
        </w:tc>
      </w:tr>
    </w:tbl>
    <w:p>
      <w:pPr>
        <w:spacing w:after="40"/>
      </w:pPr>
    </w:p>
    <w:p>
      <w:pPr>
        <w:pStyle w:val="Heading1"/>
      </w:pPr>
      <w:r>
        <w:rPr>
          <w:b w:val="0"/>
          <w:i w:val="0"/>
        </w:rPr>
        <w:t>16. Open Questions and Assumptions Log</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239"/>
        <w:gridCol w:w="1184"/>
        <w:gridCol w:w="1184"/>
        <w:gridCol w:w="2752"/>
      </w:tblGrid>
      <w:tr>
        <w:trPr>
          <w:tblHeader/>
        </w:trPr>
        <w:tc>
          <w:tcPr>
            <w:tcW w:type="dxa" w:w="4239"/>
            <w:shd w:val="clear" w:color="auto" w:fill="DCE6F2"/>
          </w:tcPr>
          <w:p>
            <w:pPr>
              <w:spacing w:after="20" w:before="20"/>
            </w:pPr>
            <w:r>
              <w:rPr>
                <w:b/>
                <w:i w:val="0"/>
                <w:sz w:val="18"/>
              </w:rPr>
              <w:t>Open question / assumption</w:t>
            </w:r>
          </w:p>
        </w:tc>
        <w:tc>
          <w:tcPr>
            <w:tcW w:type="dxa" w:w="1184"/>
            <w:shd w:val="clear" w:color="auto" w:fill="DCE6F2"/>
          </w:tcPr>
          <w:p>
            <w:pPr>
              <w:spacing w:after="20" w:before="20"/>
            </w:pPr>
            <w:r>
              <w:rPr>
                <w:b/>
                <w:i w:val="0"/>
                <w:sz w:val="18"/>
              </w:rPr>
              <w:t>Ticket type</w:t>
            </w:r>
          </w:p>
        </w:tc>
        <w:tc>
          <w:tcPr>
            <w:tcW w:type="dxa" w:w="1184"/>
            <w:shd w:val="clear" w:color="auto" w:fill="DCE6F2"/>
          </w:tcPr>
          <w:p>
            <w:pPr>
              <w:spacing w:after="20" w:before="20"/>
            </w:pPr>
            <w:r>
              <w:rPr>
                <w:b/>
                <w:i w:val="0"/>
                <w:sz w:val="18"/>
              </w:rPr>
              <w:t>Owner</w:t>
            </w:r>
          </w:p>
        </w:tc>
        <w:tc>
          <w:tcPr>
            <w:tcW w:type="dxa" w:w="2752"/>
            <w:shd w:val="clear" w:color="auto" w:fill="DCE6F2"/>
          </w:tcPr>
          <w:p>
            <w:pPr>
              <w:spacing w:after="20" w:before="20"/>
            </w:pPr>
            <w:r>
              <w:rPr>
                <w:b/>
                <w:i w:val="0"/>
                <w:sz w:val="18"/>
              </w:rPr>
              <w:t>How we resolve it</w:t>
            </w:r>
          </w:p>
        </w:tc>
      </w:tr>
      <w:tr>
        <w:tc>
          <w:tcPr>
            <w:tcW w:type="dxa" w:w="4239"/>
          </w:tcPr>
          <w:p>
            <w:pPr>
              <w:spacing w:after="20" w:before="20"/>
            </w:pPr>
            <w:r>
              <w:rPr>
                <w:b w:val="0"/>
                <w:i w:val="0"/>
                <w:sz w:val="18"/>
              </w:rPr>
              <w:t xml:space="preserve">Does Crestline's MFN (Supplier </w:t>
            </w:r>
            <w:r>
              <w:rPr>
                <w:b/>
                <w:i w:val="0"/>
                <w:sz w:val="18"/>
              </w:rPr>
              <w:t>or Affiliates</w:t>
            </w:r>
            <w:r>
              <w:rPr>
                <w:b w:val="0"/>
                <w:i w:val="0"/>
                <w:sz w:val="18"/>
              </w:rPr>
              <w:t>) reach Pvt Ltd's Indian pricing?</w:t>
            </w:r>
          </w:p>
        </w:tc>
        <w:tc>
          <w:tcPr>
            <w:tcW w:type="dxa" w:w="1184"/>
          </w:tcPr>
          <w:p>
            <w:pPr>
              <w:spacing w:after="20" w:before="20"/>
            </w:pPr>
            <w:r>
              <w:rPr>
                <w:b w:val="0"/>
                <w:i w:val="0"/>
                <w:sz w:val="18"/>
              </w:rPr>
              <w:t>Legal question (portfolio)</w:t>
            </w:r>
          </w:p>
        </w:tc>
        <w:tc>
          <w:tcPr>
            <w:tcW w:type="dxa" w:w="1184"/>
          </w:tcPr>
          <w:p>
            <w:pPr>
              <w:spacing w:after="20" w:before="20"/>
            </w:pPr>
            <w:r>
              <w:rPr>
                <w:b w:val="0"/>
                <w:i w:val="0"/>
                <w:sz w:val="18"/>
              </w:rPr>
              <w:t>Karandeep → counsel</w:t>
            </w:r>
          </w:p>
        </w:tc>
        <w:tc>
          <w:tcPr>
            <w:tcW w:type="dxa" w:w="2752"/>
          </w:tcPr>
          <w:p>
            <w:pPr>
              <w:spacing w:after="20" w:before="20"/>
            </w:pPr>
            <w:r>
              <w:rPr>
                <w:b w:val="0"/>
                <w:i w:val="0"/>
                <w:sz w:val="18"/>
              </w:rPr>
              <w:t>One-time counsel question; result added to the register entry</w:t>
            </w:r>
          </w:p>
        </w:tc>
      </w:tr>
      <w:tr>
        <w:tc>
          <w:tcPr>
            <w:tcW w:type="dxa" w:w="4239"/>
          </w:tcPr>
          <w:p>
            <w:pPr>
              <w:spacing w:after="20" w:before="20"/>
            </w:pPr>
            <w:r>
              <w:rPr>
                <w:b w:val="0"/>
                <w:i w:val="0"/>
                <w:sz w:val="18"/>
              </w:rPr>
              <w:t>Is "substantially similar services" met by fixed-fee vs T&amp;M work (Lakeshore)?</w:t>
            </w:r>
          </w:p>
        </w:tc>
        <w:tc>
          <w:tcPr>
            <w:tcW w:type="dxa" w:w="1184"/>
          </w:tcPr>
          <w:p>
            <w:pPr>
              <w:spacing w:after="20" w:before="20"/>
            </w:pPr>
            <w:r>
              <w:rPr>
                <w:b w:val="0"/>
                <w:i w:val="0"/>
                <w:sz w:val="18"/>
              </w:rPr>
              <w:t>Legal question</w:t>
            </w:r>
          </w:p>
        </w:tc>
        <w:tc>
          <w:tcPr>
            <w:tcW w:type="dxa" w:w="1184"/>
          </w:tcPr>
          <w:p>
            <w:pPr>
              <w:spacing w:after="20" w:before="20"/>
            </w:pPr>
            <w:r>
              <w:rPr>
                <w:b w:val="0"/>
                <w:i w:val="0"/>
                <w:sz w:val="18"/>
              </w:rPr>
              <w:t>Karandeep → counsel</w:t>
            </w:r>
          </w:p>
        </w:tc>
        <w:tc>
          <w:tcPr>
            <w:tcW w:type="dxa" w:w="2752"/>
          </w:tcPr>
          <w:p>
            <w:pPr>
              <w:spacing w:after="20" w:before="20"/>
            </w:pPr>
            <w:r>
              <w:rPr>
                <w:b w:val="0"/>
                <w:i w:val="0"/>
                <w:sz w:val="18"/>
              </w:rPr>
              <w:t>Tier-4 escalation with counsel pack</w:t>
            </w:r>
          </w:p>
        </w:tc>
      </w:tr>
      <w:tr>
        <w:tc>
          <w:tcPr>
            <w:tcW w:type="dxa" w:w="4239"/>
          </w:tcPr>
          <w:p>
            <w:pPr>
              <w:spacing w:after="20" w:before="20"/>
            </w:pPr>
            <w:r>
              <w:rPr>
                <w:b w:val="0"/>
                <w:i w:val="0"/>
                <w:sz w:val="18"/>
              </w:rPr>
              <w:t>What insurance does AtliQ actually hold (PI, cyber, CGL, umbrella)? Until confirmed, only the $1M cyber policy counts as held</w:t>
            </w:r>
          </w:p>
        </w:tc>
        <w:tc>
          <w:tcPr>
            <w:tcW w:type="dxa" w:w="1184"/>
          </w:tcPr>
          <w:p>
            <w:pPr>
              <w:spacing w:after="20" w:before="20"/>
            </w:pPr>
            <w:r>
              <w:rPr>
                <w:b w:val="0"/>
                <w:i w:val="0"/>
                <w:sz w:val="18"/>
              </w:rPr>
              <w:t>Data / fact</w:t>
            </w:r>
          </w:p>
        </w:tc>
        <w:tc>
          <w:tcPr>
            <w:tcW w:type="dxa" w:w="1184"/>
          </w:tcPr>
          <w:p>
            <w:pPr>
              <w:spacing w:after="20" w:before="20"/>
            </w:pPr>
            <w:r>
              <w:rPr>
                <w:b w:val="0"/>
                <w:i w:val="0"/>
                <w:sz w:val="18"/>
              </w:rPr>
              <w:t>Karandeep / finance</w:t>
            </w:r>
          </w:p>
        </w:tc>
        <w:tc>
          <w:tcPr>
            <w:tcW w:type="dxa" w:w="2752"/>
          </w:tcPr>
          <w:p>
            <w:pPr>
              <w:spacing w:after="20" w:before="20"/>
            </w:pPr>
            <w:r>
              <w:rPr>
                <w:b w:val="0"/>
                <w:i w:val="0"/>
                <w:sz w:val="18"/>
              </w:rPr>
              <w:t>Add to company facts; drives the insurance gate rule</w:t>
            </w:r>
          </w:p>
        </w:tc>
      </w:tr>
      <w:tr>
        <w:tc>
          <w:tcPr>
            <w:tcW w:type="dxa" w:w="4239"/>
          </w:tcPr>
          <w:p>
            <w:pPr>
              <w:spacing w:after="20" w:before="20"/>
            </w:pPr>
            <w:r>
              <w:rPr>
                <w:b w:val="0"/>
                <w:i w:val="0"/>
                <w:sz w:val="18"/>
              </w:rPr>
              <w:t>~10 contracts referenced but not available (ShopSwift, DataNest, PixelCraft, GlobalMart, CareBridge MSA, intercompany agreement…)</w:t>
            </w:r>
          </w:p>
        </w:tc>
        <w:tc>
          <w:tcPr>
            <w:tcW w:type="dxa" w:w="1184"/>
          </w:tcPr>
          <w:p>
            <w:pPr>
              <w:spacing w:after="20" w:before="20"/>
            </w:pPr>
            <w:r>
              <w:rPr>
                <w:b w:val="0"/>
                <w:i w:val="0"/>
                <w:sz w:val="18"/>
              </w:rPr>
              <w:t>Data gap</w:t>
            </w:r>
          </w:p>
        </w:tc>
        <w:tc>
          <w:tcPr>
            <w:tcW w:type="dxa" w:w="1184"/>
          </w:tcPr>
          <w:p>
            <w:pPr>
              <w:spacing w:after="20" w:before="20"/>
            </w:pPr>
            <w:r>
              <w:rPr>
                <w:b w:val="0"/>
                <w:i w:val="0"/>
                <w:sz w:val="18"/>
              </w:rPr>
              <w:t>Sellers / Pranav</w:t>
            </w:r>
          </w:p>
        </w:tc>
        <w:tc>
          <w:tcPr>
            <w:tcW w:type="dxa" w:w="2752"/>
          </w:tcPr>
          <w:p>
            <w:pPr>
              <w:spacing w:after="20" w:before="20"/>
            </w:pPr>
            <w:r>
              <w:rPr>
                <w:b w:val="0"/>
                <w:i w:val="0"/>
                <w:sz w:val="18"/>
              </w:rPr>
              <w:t>Collect during register build; register shows coverage %</w:t>
            </w:r>
          </w:p>
        </w:tc>
      </w:tr>
      <w:tr>
        <w:tc>
          <w:tcPr>
            <w:tcW w:type="dxa" w:w="4239"/>
          </w:tcPr>
          <w:p>
            <w:pPr>
              <w:spacing w:after="20" w:before="20"/>
            </w:pPr>
            <w:r>
              <w:rPr>
                <w:b w:val="0"/>
                <w:i w:val="0"/>
                <w:sz w:val="18"/>
              </w:rPr>
              <w:t>Assumption: sellers will fill a short deal form</w:t>
            </w:r>
          </w:p>
        </w:tc>
        <w:tc>
          <w:tcPr>
            <w:tcW w:type="dxa" w:w="1184"/>
          </w:tcPr>
          <w:p>
            <w:pPr>
              <w:spacing w:after="20" w:before="20"/>
            </w:pPr>
            <w:r>
              <w:rPr>
                <w:b w:val="0"/>
                <w:i w:val="0"/>
                <w:sz w:val="18"/>
              </w:rPr>
              <w:t>Adoption assumption</w:t>
            </w:r>
          </w:p>
        </w:tc>
        <w:tc>
          <w:tcPr>
            <w:tcW w:type="dxa" w:w="1184"/>
          </w:tcPr>
          <w:p>
            <w:pPr>
              <w:spacing w:after="20" w:before="20"/>
            </w:pPr>
            <w:r>
              <w:rPr>
                <w:b w:val="0"/>
                <w:i w:val="0"/>
                <w:sz w:val="18"/>
              </w:rPr>
              <w:t>Product</w:t>
            </w:r>
          </w:p>
        </w:tc>
        <w:tc>
          <w:tcPr>
            <w:tcW w:type="dxa" w:w="2752"/>
          </w:tcPr>
          <w:p>
            <w:pPr>
              <w:spacing w:after="20" w:before="20"/>
            </w:pPr>
            <w:r>
              <w:rPr>
                <w:b w:val="0"/>
                <w:i w:val="0"/>
                <w:sz w:val="18"/>
              </w:rPr>
              <w:t>Measure F7 usage in Stage 4; simplify the form if &lt;80%</w:t>
            </w:r>
          </w:p>
        </w:tc>
      </w:tr>
      <w:tr>
        <w:tc>
          <w:tcPr>
            <w:tcW w:type="dxa" w:w="4239"/>
          </w:tcPr>
          <w:p>
            <w:pPr>
              <w:spacing w:after="20" w:before="20"/>
            </w:pPr>
            <w:r>
              <w:rPr>
                <w:b w:val="0"/>
                <w:i w:val="0"/>
                <w:sz w:val="18"/>
              </w:rPr>
              <w:t>Assumption: people will attach meeting notes and upload related documents to the deal (no live sourcing in V1)</w:t>
            </w:r>
          </w:p>
        </w:tc>
        <w:tc>
          <w:tcPr>
            <w:tcW w:type="dxa" w:w="1184"/>
          </w:tcPr>
          <w:p>
            <w:pPr>
              <w:spacing w:after="20" w:before="20"/>
            </w:pPr>
            <w:r>
              <w:rPr>
                <w:b w:val="0"/>
                <w:i w:val="0"/>
                <w:sz w:val="18"/>
              </w:rPr>
              <w:t>Adoption assumption</w:t>
            </w:r>
          </w:p>
        </w:tc>
        <w:tc>
          <w:tcPr>
            <w:tcW w:type="dxa" w:w="1184"/>
          </w:tcPr>
          <w:p>
            <w:pPr>
              <w:spacing w:after="20" w:before="20"/>
            </w:pPr>
            <w:r>
              <w:rPr>
                <w:b w:val="0"/>
                <w:i w:val="0"/>
                <w:sz w:val="18"/>
              </w:rPr>
              <w:t>Product</w:t>
            </w:r>
          </w:p>
        </w:tc>
        <w:tc>
          <w:tcPr>
            <w:tcW w:type="dxa" w:w="2752"/>
          </w:tcPr>
          <w:p>
            <w:pPr>
              <w:spacing w:after="20" w:before="20"/>
            </w:pPr>
            <w:r>
              <w:rPr>
                <w:b w:val="0"/>
                <w:i w:val="0"/>
                <w:sz w:val="18"/>
              </w:rPr>
              <w:t>Track % of deals with notes attached (briefs flag "no notes attached"); if low, prioritise email/Drive intake in v2</w:t>
            </w:r>
          </w:p>
        </w:tc>
      </w:tr>
      <w:tr>
        <w:tc>
          <w:tcPr>
            <w:tcW w:type="dxa" w:w="4239"/>
          </w:tcPr>
          <w:p>
            <w:pPr>
              <w:spacing w:after="20" w:before="20"/>
            </w:pPr>
            <w:r>
              <w:rPr>
                <w:b w:val="0"/>
                <w:i w:val="0"/>
                <w:sz w:val="18"/>
              </w:rPr>
              <w:t>Assumption: counterparty names and cross-references are enough to link documents to the right deal</w:t>
            </w:r>
          </w:p>
        </w:tc>
        <w:tc>
          <w:tcPr>
            <w:tcW w:type="dxa" w:w="1184"/>
          </w:tcPr>
          <w:p>
            <w:pPr>
              <w:spacing w:after="20" w:before="20"/>
            </w:pPr>
            <w:r>
              <w:rPr>
                <w:b w:val="0"/>
                <w:i w:val="0"/>
                <w:sz w:val="18"/>
              </w:rPr>
              <w:t>Technical assumption</w:t>
            </w:r>
          </w:p>
        </w:tc>
        <w:tc>
          <w:tcPr>
            <w:tcW w:type="dxa" w:w="1184"/>
          </w:tcPr>
          <w:p>
            <w:pPr>
              <w:spacing w:after="20" w:before="20"/>
            </w:pPr>
            <w:r>
              <w:rPr>
                <w:b w:val="0"/>
                <w:i w:val="0"/>
                <w:sz w:val="18"/>
              </w:rPr>
              <w:t>Eng</w:t>
            </w:r>
          </w:p>
        </w:tc>
        <w:tc>
          <w:tcPr>
            <w:tcW w:type="dxa" w:w="2752"/>
          </w:tcPr>
          <w:p>
            <w:pPr>
              <w:spacing w:after="20" w:before="20"/>
            </w:pPr>
            <w:r>
              <w:rPr>
                <w:b w:val="0"/>
                <w:i w:val="0"/>
                <w:sz w:val="18"/>
              </w:rPr>
              <w:t>Measure % of uploads where the proposed deal is accepted; ask whenever uncertain</w:t>
            </w:r>
          </w:p>
        </w:tc>
      </w:tr>
      <w:tr>
        <w:tc>
          <w:tcPr>
            <w:tcW w:type="dxa" w:w="4239"/>
          </w:tcPr>
          <w:p>
            <w:pPr>
              <w:spacing w:after="20" w:before="20"/>
            </w:pPr>
            <w:r>
              <w:rPr>
                <w:b w:val="0"/>
                <w:i w:val="0"/>
                <w:sz w:val="18"/>
              </w:rPr>
              <w:t>Masking: does any client contract forbid sending even masked text to a third-party AI?</w:t>
            </w:r>
          </w:p>
        </w:tc>
        <w:tc>
          <w:tcPr>
            <w:tcW w:type="dxa" w:w="1184"/>
          </w:tcPr>
          <w:p>
            <w:pPr>
              <w:spacing w:after="20" w:before="20"/>
            </w:pPr>
            <w:r>
              <w:rPr>
                <w:b w:val="0"/>
                <w:i w:val="0"/>
                <w:sz w:val="18"/>
              </w:rPr>
              <w:t>Legal question (portfolio)</w:t>
            </w:r>
          </w:p>
        </w:tc>
        <w:tc>
          <w:tcPr>
            <w:tcW w:type="dxa" w:w="1184"/>
          </w:tcPr>
          <w:p>
            <w:pPr>
              <w:spacing w:after="20" w:before="20"/>
            </w:pPr>
            <w:r>
              <w:rPr>
                <w:b w:val="0"/>
                <w:i w:val="0"/>
                <w:sz w:val="18"/>
              </w:rPr>
              <w:t>Karandeep</w:t>
            </w:r>
          </w:p>
        </w:tc>
        <w:tc>
          <w:tcPr>
            <w:tcW w:type="dxa" w:w="2752"/>
          </w:tcPr>
          <w:p>
            <w:pPr>
              <w:spacing w:after="20" w:before="20"/>
            </w:pPr>
            <w:r>
              <w:rPr>
                <w:b w:val="0"/>
                <w:i w:val="0"/>
                <w:sz w:val="18"/>
              </w:rPr>
              <w:t>Check confidentiality clauses of live clients before Stage 3; if any do, that client's contracts are reviewed without AI until a self-hosted option is decided</w:t>
            </w:r>
          </w:p>
        </w:tc>
      </w:tr>
      <w:tr>
        <w:tc>
          <w:tcPr>
            <w:tcW w:type="dxa" w:w="4239"/>
          </w:tcPr>
          <w:p>
            <w:pPr>
              <w:spacing w:after="20" w:before="20"/>
            </w:pPr>
            <w:r>
              <w:rPr>
                <w:b w:val="0"/>
                <w:i w:val="0"/>
                <w:sz w:val="18"/>
              </w:rPr>
              <w:t>Retention periods (contract life + 7 years; unsigned drafts 90 days)</w:t>
            </w:r>
          </w:p>
        </w:tc>
        <w:tc>
          <w:tcPr>
            <w:tcW w:type="dxa" w:w="1184"/>
          </w:tcPr>
          <w:p>
            <w:pPr>
              <w:spacing w:after="20" w:before="20"/>
            </w:pPr>
            <w:r>
              <w:rPr>
                <w:b w:val="0"/>
                <w:i w:val="0"/>
                <w:sz w:val="18"/>
              </w:rPr>
              <w:t>Policy</w:t>
            </w:r>
          </w:p>
        </w:tc>
        <w:tc>
          <w:tcPr>
            <w:tcW w:type="dxa" w:w="1184"/>
          </w:tcPr>
          <w:p>
            <w:pPr>
              <w:spacing w:after="20" w:before="20"/>
            </w:pPr>
            <w:r>
              <w:rPr>
                <w:b w:val="0"/>
                <w:i w:val="0"/>
                <w:sz w:val="18"/>
              </w:rPr>
              <w:t>Karandeep</w:t>
            </w:r>
          </w:p>
        </w:tc>
        <w:tc>
          <w:tcPr>
            <w:tcW w:type="dxa" w:w="2752"/>
          </w:tcPr>
          <w:p>
            <w:pPr>
              <w:spacing w:after="20" w:before="20"/>
            </w:pPr>
            <w:r>
              <w:rPr>
                <w:b w:val="0"/>
                <w:i w:val="0"/>
                <w:sz w:val="18"/>
              </w:rPr>
              <w:t>Confirm before Stage 3; benchmark against similar contract tools</w:t>
            </w:r>
          </w:p>
        </w:tc>
      </w:tr>
      <w:tr>
        <w:tc>
          <w:tcPr>
            <w:tcW w:type="dxa" w:w="4239"/>
          </w:tcPr>
          <w:p>
            <w:pPr>
              <w:spacing w:after="20" w:before="20"/>
            </w:pPr>
            <w:r>
              <w:rPr>
                <w:b w:val="0"/>
                <w:i w:val="0"/>
                <w:sz w:val="18"/>
              </w:rPr>
              <w:t>Assumption: the starting playbook (14 positions from the 2024 checklist, negotiation notes and past contracts) reflects Karandeep's standards</w:t>
            </w:r>
          </w:p>
        </w:tc>
        <w:tc>
          <w:tcPr>
            <w:tcW w:type="dxa" w:w="1184"/>
          </w:tcPr>
          <w:p>
            <w:pPr>
              <w:spacing w:after="20" w:before="20"/>
            </w:pPr>
            <w:r>
              <w:rPr>
                <w:b w:val="0"/>
                <w:i w:val="0"/>
                <w:sz w:val="18"/>
              </w:rPr>
              <w:t>Policy / human input</w:t>
            </w:r>
          </w:p>
        </w:tc>
        <w:tc>
          <w:tcPr>
            <w:tcW w:type="dxa" w:w="1184"/>
          </w:tcPr>
          <w:p>
            <w:pPr>
              <w:spacing w:after="20" w:before="20"/>
            </w:pPr>
            <w:r>
              <w:rPr>
                <w:b w:val="0"/>
                <w:i w:val="0"/>
                <w:sz w:val="18"/>
              </w:rPr>
              <w:t>Karandeep</w:t>
            </w:r>
          </w:p>
        </w:tc>
        <w:tc>
          <w:tcPr>
            <w:tcW w:type="dxa" w:w="2752"/>
          </w:tcPr>
          <w:p>
            <w:pPr>
              <w:spacing w:after="20" w:before="20"/>
            </w:pPr>
            <w:r>
              <w:rPr>
                <w:b w:val="0"/>
                <w:i w:val="0"/>
                <w:sz w:val="18"/>
              </w:rPr>
              <w:t>Treated as approved in testing; he approves or edits each position in Stage 2</w:t>
            </w:r>
          </w:p>
        </w:tc>
      </w:tr>
      <w:tr>
        <w:tc>
          <w:tcPr>
            <w:tcW w:type="dxa" w:w="4239"/>
          </w:tcPr>
          <w:p>
            <w:pPr>
              <w:spacing w:after="20" w:before="20"/>
            </w:pPr>
            <w:r>
              <w:rPr>
                <w:b w:val="0"/>
                <w:i w:val="0"/>
                <w:sz w:val="18"/>
              </w:rPr>
              <w:t>Assumption: the past-decision labels (standard / exception / concession / accident), prepared from the contracts and notes because intent was never recorded, match Karandeep's intent</w:t>
            </w:r>
          </w:p>
        </w:tc>
        <w:tc>
          <w:tcPr>
            <w:tcW w:type="dxa" w:w="1184"/>
          </w:tcPr>
          <w:p>
            <w:pPr>
              <w:spacing w:after="20" w:before="20"/>
            </w:pPr>
            <w:r>
              <w:rPr>
                <w:b w:val="0"/>
                <w:i w:val="0"/>
                <w:sz w:val="18"/>
              </w:rPr>
              <w:t>Data / human input</w:t>
            </w:r>
          </w:p>
        </w:tc>
        <w:tc>
          <w:tcPr>
            <w:tcW w:type="dxa" w:w="1184"/>
          </w:tcPr>
          <w:p>
            <w:pPr>
              <w:spacing w:after="20" w:before="20"/>
            </w:pPr>
            <w:r>
              <w:rPr>
                <w:b w:val="0"/>
                <w:i w:val="0"/>
                <w:sz w:val="18"/>
              </w:rPr>
              <w:t>Karandeep</w:t>
            </w:r>
          </w:p>
        </w:tc>
        <w:tc>
          <w:tcPr>
            <w:tcW w:type="dxa" w:w="2752"/>
          </w:tcPr>
          <w:p>
            <w:pPr>
              <w:spacing w:after="20" w:before="20"/>
            </w:pPr>
            <w:r>
              <w:rPr>
                <w:b w:val="0"/>
                <w:i w:val="0"/>
                <w:sz w:val="18"/>
              </w:rPr>
              <w:t>~30-minute tagging session before Stage 2; until then labels are a best reading</w:t>
            </w:r>
          </w:p>
        </w:tc>
      </w:tr>
      <w:tr>
        <w:tc>
          <w:tcPr>
            <w:tcW w:type="dxa" w:w="4239"/>
          </w:tcPr>
          <w:p>
            <w:pPr>
              <w:spacing w:after="20" w:before="20"/>
            </w:pPr>
            <w:r>
              <w:rPr>
                <w:b w:val="0"/>
                <w:i w:val="0"/>
                <w:sz w:val="18"/>
              </w:rPr>
              <w:t>Assumption: the required-documents list per deal type (e.g. US healthcare: NDA + BAA + MSA + sub-BAA per subcontractor; EU personal data: DPA + SCCs) is complete</w:t>
            </w:r>
          </w:p>
        </w:tc>
        <w:tc>
          <w:tcPr>
            <w:tcW w:type="dxa" w:w="1184"/>
          </w:tcPr>
          <w:p>
            <w:pPr>
              <w:spacing w:after="20" w:before="20"/>
            </w:pPr>
            <w:r>
              <w:rPr>
                <w:b w:val="0"/>
                <w:i w:val="0"/>
                <w:sz w:val="18"/>
              </w:rPr>
              <w:t>Legal question (one-off)</w:t>
            </w:r>
          </w:p>
        </w:tc>
        <w:tc>
          <w:tcPr>
            <w:tcW w:type="dxa" w:w="1184"/>
          </w:tcPr>
          <w:p>
            <w:pPr>
              <w:spacing w:after="20" w:before="20"/>
            </w:pPr>
            <w:r>
              <w:rPr>
                <w:b w:val="0"/>
                <w:i w:val="0"/>
                <w:sz w:val="18"/>
              </w:rPr>
              <w:t>Karandeep → counsel</w:t>
            </w:r>
          </w:p>
        </w:tc>
        <w:tc>
          <w:tcPr>
            <w:tcW w:type="dxa" w:w="2752"/>
          </w:tcPr>
          <w:p>
            <w:pPr>
              <w:spacing w:after="20" w:before="20"/>
            </w:pPr>
            <w:r>
              <w:rPr>
                <w:b w:val="0"/>
                <w:i w:val="0"/>
                <w:sz w:val="18"/>
              </w:rPr>
              <w:t>One counsel review of the list before Stage 3; the list is a setting, not code</w:t>
            </w:r>
          </w:p>
        </w:tc>
      </w:tr>
      <w:tr>
        <w:tc>
          <w:tcPr>
            <w:tcW w:type="dxa" w:w="4239"/>
          </w:tcPr>
          <w:p>
            <w:pPr>
              <w:spacing w:after="20" w:before="20"/>
            </w:pPr>
            <w:r>
              <w:rPr>
                <w:b w:val="0"/>
                <w:i w:val="0"/>
                <w:sz w:val="18"/>
              </w:rPr>
              <w:t>Assumption: the eval answer keys (the dataset's answer key plus our own analysis) stand in for Karandeep's judgment</w:t>
            </w:r>
          </w:p>
        </w:tc>
        <w:tc>
          <w:tcPr>
            <w:tcW w:type="dxa" w:w="1184"/>
          </w:tcPr>
          <w:p>
            <w:pPr>
              <w:spacing w:after="20" w:before="20"/>
            </w:pPr>
            <w:r>
              <w:rPr>
                <w:b w:val="0"/>
                <w:i w:val="0"/>
                <w:sz w:val="18"/>
              </w:rPr>
              <w:t>Eval assumption</w:t>
            </w:r>
          </w:p>
        </w:tc>
        <w:tc>
          <w:tcPr>
            <w:tcW w:type="dxa" w:w="1184"/>
          </w:tcPr>
          <w:p>
            <w:pPr>
              <w:spacing w:after="20" w:before="20"/>
            </w:pPr>
            <w:r>
              <w:rPr>
                <w:b w:val="0"/>
                <w:i w:val="0"/>
                <w:sz w:val="18"/>
              </w:rPr>
              <w:t>Product</w:t>
            </w:r>
          </w:p>
        </w:tc>
        <w:tc>
          <w:tcPr>
            <w:tcW w:type="dxa" w:w="2752"/>
          </w:tcPr>
          <w:p>
            <w:pPr>
              <w:spacing w:after="20" w:before="20"/>
            </w:pPr>
            <w:r>
              <w:rPr>
                <w:b w:val="0"/>
                <w:i w:val="0"/>
                <w:sz w:val="18"/>
              </w:rPr>
              <w:t>In shadow mode he grades a sample of findings; the answer keys are corrected where he disagrees</w:t>
            </w:r>
          </w:p>
        </w:tc>
      </w:tr>
      <w:tr>
        <w:tc>
          <w:tcPr>
            <w:tcW w:type="dxa" w:w="4239"/>
          </w:tcPr>
          <w:p>
            <w:pPr>
              <w:spacing w:after="20" w:before="20"/>
            </w:pPr>
            <w:r>
              <w:rPr>
                <w:b w:val="0"/>
                <w:i w:val="0"/>
                <w:sz w:val="18"/>
              </w:rPr>
              <w:t>Assumption: on judgment calls (e.g. whether a service falls inside a non-compete), severity may differ between runs; acceptable because Karandeep reviews every blocker and the verdict is computed by rule</w:t>
            </w:r>
          </w:p>
        </w:tc>
        <w:tc>
          <w:tcPr>
            <w:tcW w:type="dxa" w:w="1184"/>
          </w:tcPr>
          <w:p>
            <w:pPr>
              <w:spacing w:after="20" w:before="20"/>
            </w:pPr>
            <w:r>
              <w:rPr>
                <w:b w:val="0"/>
                <w:i w:val="0"/>
                <w:sz w:val="18"/>
              </w:rPr>
              <w:t>Technical assumption</w:t>
            </w:r>
          </w:p>
        </w:tc>
        <w:tc>
          <w:tcPr>
            <w:tcW w:type="dxa" w:w="1184"/>
          </w:tcPr>
          <w:p>
            <w:pPr>
              <w:spacing w:after="20" w:before="20"/>
            </w:pPr>
            <w:r>
              <w:rPr>
                <w:b w:val="0"/>
                <w:i w:val="0"/>
                <w:sz w:val="18"/>
              </w:rPr>
              <w:t>Eng + Product</w:t>
            </w:r>
          </w:p>
        </w:tc>
        <w:tc>
          <w:tcPr>
            <w:tcW w:type="dxa" w:w="2752"/>
          </w:tcPr>
          <w:p>
            <w:pPr>
              <w:spacing w:after="20" w:before="20"/>
            </w:pPr>
            <w:r>
              <w:rPr>
                <w:b w:val="0"/>
                <w:i w:val="0"/>
                <w:sz w:val="18"/>
              </w:rPr>
              <w:t>12 of 12 fresh runs agreed on the verdict in testing; findings overlap 64–100% between runs; re-measured in shadow mode</w:t>
            </w:r>
          </w:p>
        </w:tc>
      </w:tr>
      <w:tr>
        <w:tc>
          <w:tcPr>
            <w:tcW w:type="dxa" w:w="4239"/>
          </w:tcPr>
          <w:p>
            <w:pPr>
              <w:spacing w:after="20" w:before="20"/>
            </w:pPr>
            <w:r>
              <w:rPr>
                <w:b w:val="0"/>
                <w:i w:val="0"/>
                <w:sz w:val="18"/>
              </w:rPr>
              <w:t>Known gap: the conflict check compares 5 commitment kinds; other live kinds (rights of first refusal, minimum purchase, rate freezes, data-hosting and sub-processor terms, offshore-access bans, non-solicits) are only listed for a manual check</w:t>
            </w:r>
          </w:p>
        </w:tc>
        <w:tc>
          <w:tcPr>
            <w:tcW w:type="dxa" w:w="1184"/>
          </w:tcPr>
          <w:p>
            <w:pPr>
              <w:spacing w:after="20" w:before="20"/>
            </w:pPr>
            <w:r>
              <w:rPr>
                <w:b w:val="0"/>
                <w:i w:val="0"/>
                <w:sz w:val="18"/>
              </w:rPr>
              <w:t>Scope</w:t>
            </w:r>
          </w:p>
        </w:tc>
        <w:tc>
          <w:tcPr>
            <w:tcW w:type="dxa" w:w="1184"/>
          </w:tcPr>
          <w:p>
            <w:pPr>
              <w:spacing w:after="20" w:before="20"/>
            </w:pPr>
            <w:r>
              <w:rPr>
                <w:b w:val="0"/>
                <w:i w:val="0"/>
                <w:sz w:val="18"/>
              </w:rPr>
              <w:t>Eng + Product</w:t>
            </w:r>
          </w:p>
        </w:tc>
        <w:tc>
          <w:tcPr>
            <w:tcW w:type="dxa" w:w="2752"/>
          </w:tcPr>
          <w:p>
            <w:pPr>
              <w:spacing w:after="20" w:before="20"/>
            </w:pPr>
            <w:r>
              <w:rPr>
                <w:b w:val="0"/>
                <w:i w:val="0"/>
                <w:sz w:val="18"/>
              </w:rPr>
              <w:t>Extend the comparison before Stage 3; on the held-out set all 4 missed conflicts were of these kinds</w:t>
            </w:r>
          </w:p>
        </w:tc>
      </w:tr>
      <w:tr>
        <w:tc>
          <w:tcPr>
            <w:tcW w:type="dxa" w:w="4239"/>
          </w:tcPr>
          <w:p>
            <w:pPr>
              <w:spacing w:after="20" w:before="20"/>
            </w:pPr>
            <w:r>
              <w:rPr>
                <w:b w:val="0"/>
                <w:i w:val="0"/>
                <w:sz w:val="18"/>
              </w:rPr>
              <w:t>Is $50k the right deal-size threshold for treating deviations more leniently?</w:t>
            </w:r>
          </w:p>
        </w:tc>
        <w:tc>
          <w:tcPr>
            <w:tcW w:type="dxa" w:w="1184"/>
          </w:tcPr>
          <w:p>
            <w:pPr>
              <w:spacing w:after="20" w:before="20"/>
            </w:pPr>
            <w:r>
              <w:rPr>
                <w:b w:val="0"/>
                <w:i w:val="0"/>
                <w:sz w:val="18"/>
              </w:rPr>
              <w:t>Policy</w:t>
            </w:r>
          </w:p>
        </w:tc>
        <w:tc>
          <w:tcPr>
            <w:tcW w:type="dxa" w:w="1184"/>
          </w:tcPr>
          <w:p>
            <w:pPr>
              <w:spacing w:after="20" w:before="20"/>
            </w:pPr>
            <w:r>
              <w:rPr>
                <w:b w:val="0"/>
                <w:i w:val="0"/>
                <w:sz w:val="18"/>
              </w:rPr>
              <w:t>Karandeep</w:t>
            </w:r>
          </w:p>
        </w:tc>
        <w:tc>
          <w:tcPr>
            <w:tcW w:type="dxa" w:w="2752"/>
          </w:tcPr>
          <w:p>
            <w:pPr>
              <w:spacing w:after="20" w:before="20"/>
            </w:pPr>
            <w:r>
              <w:rPr>
                <w:b w:val="0"/>
                <w:i w:val="0"/>
                <w:sz w:val="18"/>
              </w:rPr>
              <w:t>Confirm in shadow mode; the threshold is a setting</w:t>
            </w:r>
          </w:p>
        </w:tc>
      </w:tr>
      <w:tr>
        <w:tc>
          <w:tcPr>
            <w:tcW w:type="dxa" w:w="4239"/>
          </w:tcPr>
          <w:p>
            <w:pPr>
              <w:spacing w:after="20" w:before="20"/>
            </w:pPr>
            <w:r>
              <w:rPr>
                <w:b w:val="0"/>
                <w:i w:val="0"/>
                <w:sz w:val="18"/>
              </w:rPr>
              <w:t>Which LLM vendor terms meet no-training / retention requirements? Production assumes a paid tier with zero-data-retention terms (free tiers have daily limits and may use data)</w:t>
            </w:r>
          </w:p>
        </w:tc>
        <w:tc>
          <w:tcPr>
            <w:tcW w:type="dxa" w:w="1184"/>
          </w:tcPr>
          <w:p>
            <w:pPr>
              <w:spacing w:after="20" w:before="20"/>
            </w:pPr>
            <w:r>
              <w:rPr>
                <w:b w:val="0"/>
                <w:i w:val="0"/>
                <w:sz w:val="18"/>
              </w:rPr>
              <w:t>Vendor / security</w:t>
            </w:r>
          </w:p>
        </w:tc>
        <w:tc>
          <w:tcPr>
            <w:tcW w:type="dxa" w:w="1184"/>
          </w:tcPr>
          <w:p>
            <w:pPr>
              <w:spacing w:after="20" w:before="20"/>
            </w:pPr>
            <w:r>
              <w:rPr>
                <w:b w:val="0"/>
                <w:i w:val="0"/>
                <w:sz w:val="18"/>
              </w:rPr>
              <w:t>Eng + Product</w:t>
            </w:r>
          </w:p>
        </w:tc>
        <w:tc>
          <w:tcPr>
            <w:tcW w:type="dxa" w:w="2752"/>
          </w:tcPr>
          <w:p>
            <w:pPr>
              <w:spacing w:after="20" w:before="20"/>
            </w:pPr>
            <w:r>
              <w:rPr>
                <w:b w:val="0"/>
                <w:i w:val="0"/>
                <w:sz w:val="18"/>
              </w:rPr>
              <w:t>Vendor review before Stage 3</w:t>
            </w:r>
          </w:p>
        </w:tc>
      </w:tr>
      <w:tr>
        <w:tc>
          <w:tcPr>
            <w:tcW w:type="dxa" w:w="4239"/>
          </w:tcPr>
          <w:p>
            <w:pPr>
              <w:spacing w:after="20" w:before="20"/>
            </w:pPr>
            <w:r>
              <w:rPr>
                <w:b w:val="0"/>
                <w:i w:val="0"/>
                <w:sz w:val="18"/>
              </w:rPr>
              <w:t>Who is the named owner alongside Karandeep for compliance alerts (HIPAA/GDPR/DPDP)?</w:t>
            </w:r>
          </w:p>
        </w:tc>
        <w:tc>
          <w:tcPr>
            <w:tcW w:type="dxa" w:w="1184"/>
          </w:tcPr>
          <w:p>
            <w:pPr>
              <w:spacing w:after="20" w:before="20"/>
            </w:pPr>
            <w:r>
              <w:rPr>
                <w:b w:val="0"/>
                <w:i w:val="0"/>
                <w:sz w:val="18"/>
              </w:rPr>
              <w:t>Process / ownership</w:t>
            </w:r>
          </w:p>
        </w:tc>
        <w:tc>
          <w:tcPr>
            <w:tcW w:type="dxa" w:w="1184"/>
          </w:tcPr>
          <w:p>
            <w:pPr>
              <w:spacing w:after="20" w:before="20"/>
            </w:pPr>
            <w:r>
              <w:rPr>
                <w:b w:val="0"/>
                <w:i w:val="0"/>
                <w:sz w:val="18"/>
              </w:rPr>
              <w:t>Karandeep</w:t>
            </w:r>
          </w:p>
        </w:tc>
        <w:tc>
          <w:tcPr>
            <w:tcW w:type="dxa" w:w="2752"/>
          </w:tcPr>
          <w:p>
            <w:pPr>
              <w:spacing w:after="20" w:before="20"/>
            </w:pPr>
            <w:r>
              <w:rPr>
                <w:b w:val="0"/>
                <w:i w:val="0"/>
                <w:sz w:val="18"/>
              </w:rPr>
              <w:t>Assign owner (likely Pranav) before Stage 3</w:t>
            </w:r>
          </w:p>
        </w:tc>
      </w:tr>
      <w:tr>
        <w:tc>
          <w:tcPr>
            <w:tcW w:type="dxa" w:w="4239"/>
          </w:tcPr>
          <w:p>
            <w:pPr>
              <w:spacing w:after="20" w:before="20"/>
            </w:pPr>
            <w:r>
              <w:rPr>
                <w:b w:val="0"/>
                <w:i w:val="0"/>
                <w:sz w:val="18"/>
              </w:rPr>
              <w:t>Will Karandeep answer the follow-up question consistently?</w:t>
            </w:r>
          </w:p>
        </w:tc>
        <w:tc>
          <w:tcPr>
            <w:tcW w:type="dxa" w:w="1184"/>
          </w:tcPr>
          <w:p>
            <w:pPr>
              <w:spacing w:after="20" w:before="20"/>
            </w:pPr>
            <w:r>
              <w:rPr>
                <w:b w:val="0"/>
                <w:i w:val="0"/>
                <w:sz w:val="18"/>
              </w:rPr>
              <w:t>Adoption assumption</w:t>
            </w:r>
          </w:p>
        </w:tc>
        <w:tc>
          <w:tcPr>
            <w:tcW w:type="dxa" w:w="1184"/>
          </w:tcPr>
          <w:p>
            <w:pPr>
              <w:spacing w:after="20" w:before="20"/>
            </w:pPr>
            <w:r>
              <w:rPr>
                <w:b w:val="0"/>
                <w:i w:val="0"/>
                <w:sz w:val="18"/>
              </w:rPr>
              <w:t>Product</w:t>
            </w:r>
          </w:p>
        </w:tc>
        <w:tc>
          <w:tcPr>
            <w:tcW w:type="dxa" w:w="2752"/>
          </w:tcPr>
          <w:p>
            <w:pPr>
              <w:spacing w:after="20" w:before="20"/>
            </w:pPr>
            <w:r>
              <w:rPr>
                <w:b w:val="0"/>
                <w:i w:val="0"/>
                <w:sz w:val="18"/>
              </w:rPr>
              <w:t>Monitor feedback-health metric in shadow mode; cross-check with passive signals</w:t>
            </w:r>
          </w:p>
        </w:tc>
      </w:tr>
      <w:tr>
        <w:tc>
          <w:tcPr>
            <w:tcW w:type="dxa" w:w="4239"/>
          </w:tcPr>
          <w:p>
            <w:pPr>
              <w:spacing w:after="20" w:before="20"/>
            </w:pPr>
            <w:r>
              <w:rPr>
                <w:b w:val="0"/>
                <w:i w:val="0"/>
                <w:sz w:val="18"/>
              </w:rPr>
              <w:t>Assumption: general-purpose embeddings separate legal clauses well enough by meaning (e.g. capped vs uncapped LDs look textually similar)</w:t>
            </w:r>
          </w:p>
        </w:tc>
        <w:tc>
          <w:tcPr>
            <w:tcW w:type="dxa" w:w="1184"/>
          </w:tcPr>
          <w:p>
            <w:pPr>
              <w:spacing w:after="20" w:before="20"/>
            </w:pPr>
            <w:r>
              <w:rPr>
                <w:b w:val="0"/>
                <w:i w:val="0"/>
                <w:sz w:val="18"/>
              </w:rPr>
              <w:t>Technical assumption</w:t>
            </w:r>
          </w:p>
        </w:tc>
        <w:tc>
          <w:tcPr>
            <w:tcW w:type="dxa" w:w="1184"/>
          </w:tcPr>
          <w:p>
            <w:pPr>
              <w:spacing w:after="20" w:before="20"/>
            </w:pPr>
            <w:r>
              <w:rPr>
                <w:b w:val="0"/>
                <w:i w:val="0"/>
                <w:sz w:val="18"/>
              </w:rPr>
              <w:t>Eng</w:t>
            </w:r>
          </w:p>
        </w:tc>
        <w:tc>
          <w:tcPr>
            <w:tcW w:type="dxa" w:w="2752"/>
          </w:tcPr>
          <w:p>
            <w:pPr>
              <w:spacing w:after="20" w:before="20"/>
            </w:pPr>
            <w:r>
              <w:rPr>
                <w:b w:val="0"/>
                <w:i w:val="0"/>
                <w:sz w:val="18"/>
              </w:rPr>
              <w:t>Measure recall@3 on EV-P cases; filter by clause type before similarity; "how it differs" note from the LLM covers fine distinctions</w:t>
            </w:r>
          </w:p>
        </w:tc>
      </w:tr>
    </w:tbl>
    <w:p>
      <w:pPr>
        <w:spacing w:after="40"/>
      </w:pP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Yours Legally,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abstractNum w:abstractNumId="90">
    <w:multiLevelType w:val="hybridMultilevel"/>
    <w:lvl w:ilvl="0">
      <w:start w:val="1"/>
      <w:numFmt w:val="bullet"/>
      <w:lvlText w:val="•"/>
      <w:lvlJc w:val="left"/>
      <w:pPr>
        <w:ind w:left="360" w:hanging="260"/>
      </w:pPr>
    </w:lvl>
    <w:lvl w:ilvl="1">
      <w:start w:val="1"/>
      <w:numFmt w:val="bullet"/>
      <w:lvlText w:val="–"/>
      <w:lvlJc w:val="left"/>
      <w:pPr>
        <w:ind w:left="720" w:hanging="26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 w:numId="90">
    <w:abstractNumId w:val="9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