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3C002D" w14:paraId="714B8157" w14:textId="77777777">
        <w:tc>
          <w:tcPr>
            <w:tcW w:w="10106" w:type="dxa"/>
            <w:tcBorders>
              <w:top w:val="none" w:sz="0" w:space="0" w:color="FFFFFF"/>
              <w:left w:val="none" w:sz="0" w:space="0" w:color="FFFFFF"/>
              <w:bottom w:val="none" w:sz="0" w:space="0" w:color="FFFFFF"/>
              <w:right w:val="none" w:sz="0" w:space="0" w:color="FFFFFF"/>
            </w:tcBorders>
            <w:shd w:val="clear" w:color="auto" w:fill="1B3A5C"/>
            <w:tcMar>
              <w:top w:w="300" w:type="dxa"/>
              <w:left w:w="400" w:type="dxa"/>
              <w:bottom w:w="220" w:type="dxa"/>
              <w:right w:w="400" w:type="dxa"/>
            </w:tcMar>
          </w:tcPr>
          <w:p w14:paraId="701041D1" w14:textId="77777777" w:rsidR="003C002D" w:rsidRDefault="004E78DB">
            <w:pPr>
              <w:spacing w:after="60"/>
              <w:jc w:val="center"/>
            </w:pPr>
            <w:r>
              <w:rPr>
                <w:b/>
                <w:bCs/>
                <w:color w:val="FFFFFF"/>
                <w:sz w:val="52"/>
                <w:szCs w:val="52"/>
              </w:rPr>
              <w:t>VANDANA VADDI</w:t>
            </w:r>
          </w:p>
          <w:p w14:paraId="3AB9F007" w14:textId="700E7684" w:rsidR="003C002D" w:rsidRDefault="004E78DB">
            <w:pPr>
              <w:spacing w:after="60"/>
              <w:jc w:val="center"/>
            </w:pPr>
            <w:r>
              <w:rPr>
                <w:i/>
                <w:iCs/>
                <w:color w:val="B0CCE0"/>
                <w:sz w:val="21"/>
                <w:szCs w:val="21"/>
              </w:rPr>
              <w:t xml:space="preserve">Dual-Qualified </w:t>
            </w:r>
            <w:r w:rsidR="00612E54">
              <w:rPr>
                <w:i/>
                <w:iCs/>
                <w:color w:val="B0CCE0"/>
                <w:sz w:val="21"/>
                <w:szCs w:val="21"/>
              </w:rPr>
              <w:t xml:space="preserve">Lawyer </w:t>
            </w:r>
            <w:proofErr w:type="gramStart"/>
            <w:r w:rsidR="00612E54">
              <w:rPr>
                <w:i/>
                <w:iCs/>
                <w:color w:val="B0CCE0"/>
                <w:sz w:val="21"/>
                <w:szCs w:val="21"/>
              </w:rPr>
              <w:t>·</w:t>
            </w:r>
            <w:r>
              <w:rPr>
                <w:i/>
                <w:iCs/>
                <w:color w:val="B0CCE0"/>
                <w:sz w:val="21"/>
                <w:szCs w:val="21"/>
              </w:rPr>
              <w:t xml:space="preserve">  Payroll</w:t>
            </w:r>
            <w:proofErr w:type="gramEnd"/>
            <w:r>
              <w:rPr>
                <w:i/>
                <w:iCs/>
                <w:color w:val="B0CCE0"/>
                <w:sz w:val="21"/>
                <w:szCs w:val="21"/>
              </w:rPr>
              <w:t xml:space="preserve"> Professional in </w:t>
            </w:r>
            <w:r w:rsidR="00612E54">
              <w:rPr>
                <w:i/>
                <w:iCs/>
                <w:color w:val="B0CCE0"/>
                <w:sz w:val="21"/>
                <w:szCs w:val="21"/>
              </w:rPr>
              <w:t>Training · APA</w:t>
            </w:r>
            <w:r>
              <w:rPr>
                <w:i/>
                <w:iCs/>
                <w:color w:val="B0CCE0"/>
                <w:sz w:val="21"/>
                <w:szCs w:val="21"/>
              </w:rPr>
              <w:t xml:space="preserve"> Certificate IV (Completing </w:t>
            </w:r>
            <w:r w:rsidR="00620E1F">
              <w:rPr>
                <w:i/>
                <w:iCs/>
                <w:color w:val="B0CCE0"/>
                <w:sz w:val="21"/>
                <w:szCs w:val="21"/>
              </w:rPr>
              <w:t>May</w:t>
            </w:r>
            <w:r w:rsidR="008B45C4">
              <w:rPr>
                <w:i/>
                <w:iCs/>
                <w:color w:val="B0CCE0"/>
                <w:sz w:val="21"/>
                <w:szCs w:val="21"/>
              </w:rPr>
              <w:t>’26)</w:t>
            </w:r>
          </w:p>
          <w:p w14:paraId="0A3A1530" w14:textId="384587C3" w:rsidR="003C002D" w:rsidRDefault="004E78DB">
            <w:pPr>
              <w:spacing w:before="60"/>
              <w:jc w:val="center"/>
            </w:pPr>
            <w:r>
              <w:rPr>
                <w:color w:val="C8DCF0"/>
                <w:sz w:val="19"/>
                <w:szCs w:val="19"/>
              </w:rPr>
              <w:t xml:space="preserve">Sydney, </w:t>
            </w:r>
            <w:r w:rsidR="00612E54">
              <w:rPr>
                <w:color w:val="C8DCF0"/>
                <w:sz w:val="19"/>
                <w:szCs w:val="19"/>
              </w:rPr>
              <w:t xml:space="preserve">NSW </w:t>
            </w:r>
            <w:proofErr w:type="gramStart"/>
            <w:r w:rsidR="00612E54">
              <w:rPr>
                <w:color w:val="C8DCF0"/>
                <w:sz w:val="19"/>
                <w:szCs w:val="19"/>
              </w:rPr>
              <w:t>·</w:t>
            </w:r>
            <w:r>
              <w:rPr>
                <w:color w:val="C8DCF0"/>
                <w:sz w:val="19"/>
                <w:szCs w:val="19"/>
              </w:rPr>
              <w:t xml:space="preserve">  +</w:t>
            </w:r>
            <w:proofErr w:type="gramEnd"/>
            <w:r>
              <w:rPr>
                <w:color w:val="C8DCF0"/>
                <w:sz w:val="19"/>
                <w:szCs w:val="19"/>
              </w:rPr>
              <w:t xml:space="preserve">61 460 612 </w:t>
            </w:r>
            <w:r w:rsidR="00612E54">
              <w:rPr>
                <w:color w:val="C8DCF0"/>
                <w:sz w:val="19"/>
                <w:szCs w:val="19"/>
              </w:rPr>
              <w:t xml:space="preserve">212 </w:t>
            </w:r>
            <w:proofErr w:type="gramStart"/>
            <w:r w:rsidR="00612E54">
              <w:rPr>
                <w:color w:val="C8DCF0"/>
                <w:sz w:val="19"/>
                <w:szCs w:val="19"/>
              </w:rPr>
              <w:t>·</w:t>
            </w:r>
            <w:r>
              <w:rPr>
                <w:color w:val="C8DCF0"/>
                <w:sz w:val="19"/>
                <w:szCs w:val="19"/>
              </w:rPr>
              <w:t xml:space="preserve">  vandana.law@gmail.com</w:t>
            </w:r>
            <w:proofErr w:type="gramEnd"/>
          </w:p>
        </w:tc>
      </w:tr>
    </w:tbl>
    <w:p w14:paraId="78ADDB91" w14:textId="77777777" w:rsidR="003C002D" w:rsidRDefault="004E78DB">
      <w:pPr>
        <w:spacing w:before="260" w:after="40"/>
      </w:pPr>
      <w:r>
        <w:rPr>
          <w:b/>
          <w:bCs/>
          <w:color w:val="1B3A5C"/>
          <w:sz w:val="22"/>
          <w:szCs w:val="22"/>
        </w:rPr>
        <w:t>PROFESSIONAL PROFILE</w:t>
      </w:r>
    </w:p>
    <w:p w14:paraId="40CD3858" w14:textId="77777777" w:rsidR="003C002D" w:rsidRDefault="003C002D">
      <w:pPr>
        <w:pBdr>
          <w:bottom w:val="single" w:sz="8" w:space="1" w:color="1A6B72"/>
        </w:pBdr>
        <w:spacing w:before="60" w:after="60"/>
      </w:pPr>
    </w:p>
    <w:p w14:paraId="1BF76CC0" w14:textId="77777777" w:rsidR="003C002D" w:rsidRDefault="004E78DB">
      <w:pPr>
        <w:spacing w:before="60" w:after="60"/>
      </w:pPr>
      <w:r w:rsidRPr="00BF0DEC">
        <w:rPr>
          <w:i/>
          <w:iCs/>
        </w:rPr>
        <w:t>Dual-qualified lawyer (Australia &amp; India)</w:t>
      </w:r>
      <w:r>
        <w:t xml:space="preserve"> making a deliberate and well-prepared transition into payroll professional services. Currently completing a </w:t>
      </w:r>
      <w:r w:rsidRPr="00BF0DEC">
        <w:rPr>
          <w:i/>
          <w:iCs/>
        </w:rPr>
        <w:t>Certificate IV in Payroll Administration</w:t>
      </w:r>
      <w:r>
        <w:t xml:space="preserve"> through the </w:t>
      </w:r>
      <w:r w:rsidRPr="00BF0DEC">
        <w:rPr>
          <w:i/>
          <w:iCs/>
        </w:rPr>
        <w:t>Australian Payroll Association (APA),</w:t>
      </w:r>
      <w:r>
        <w:t xml:space="preserve"> building structured payroll expertise on top of over a decade of compliance, legislation, and client advisory experience.</w:t>
      </w:r>
    </w:p>
    <w:p w14:paraId="7E13C0FC" w14:textId="77777777" w:rsidR="003C002D" w:rsidRDefault="004E78DB">
      <w:pPr>
        <w:spacing w:before="40" w:after="40"/>
      </w:pPr>
      <w:r>
        <w:t>Legal practice provides an exceptionally strong foundation for payroll implementation and client services: interpreting complex legislation, advising on statutory obligations, drafting compliance documentation, and guiding clients through procedural requirements are core skills in both fields. Brings meticulous attention to detail, disciplined record management, and the ability to communicate complex obligations clearly to non-specialist clients.</w:t>
      </w:r>
    </w:p>
    <w:p w14:paraId="56DF8F70" w14:textId="77777777" w:rsidR="003C002D" w:rsidRDefault="004E78DB">
      <w:pPr>
        <w:spacing w:before="260" w:after="40"/>
      </w:pPr>
      <w:r>
        <w:rPr>
          <w:b/>
          <w:bCs/>
          <w:color w:val="1B3A5C"/>
          <w:sz w:val="22"/>
          <w:szCs w:val="22"/>
        </w:rPr>
        <w:t>CORE CAPABILITIES</w:t>
      </w:r>
    </w:p>
    <w:p w14:paraId="598E9A52" w14:textId="77777777" w:rsidR="003C002D" w:rsidRDefault="003C002D">
      <w:pPr>
        <w:pBdr>
          <w:bottom w:val="single" w:sz="8" w:space="1" w:color="1A6B72"/>
        </w:pBdr>
        <w:spacing w:before="60" w:after="60"/>
      </w:pPr>
    </w:p>
    <w:tbl>
      <w:tblPr>
        <w:tblW w:w="10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7"/>
        <w:gridCol w:w="5077"/>
      </w:tblGrid>
      <w:tr w:rsidR="003C002D" w14:paraId="17CC07EA" w14:textId="77777777" w:rsidTr="00FF492F">
        <w:trPr>
          <w:trHeight w:val="1731"/>
        </w:trPr>
        <w:tc>
          <w:tcPr>
            <w:tcW w:w="5077"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40" w:type="dxa"/>
              <w:right w:w="80" w:type="dxa"/>
            </w:tcMar>
          </w:tcPr>
          <w:p w14:paraId="4EC32570" w14:textId="77777777" w:rsidR="003C002D" w:rsidRDefault="004E78DB">
            <w:pPr>
              <w:pStyle w:val="ListParagraph"/>
              <w:numPr>
                <w:ilvl w:val="0"/>
                <w:numId w:val="2"/>
              </w:numPr>
              <w:spacing w:before="38" w:after="38"/>
            </w:pPr>
            <w:r>
              <w:t>Payroll legislation, Award &amp; NES interpretation</w:t>
            </w:r>
          </w:p>
          <w:p w14:paraId="2F8017E0" w14:textId="2FA5079C" w:rsidR="003C002D" w:rsidRDefault="004E78DB">
            <w:pPr>
              <w:pStyle w:val="ListParagraph"/>
              <w:numPr>
                <w:ilvl w:val="0"/>
                <w:numId w:val="2"/>
              </w:numPr>
              <w:spacing w:before="38" w:after="38"/>
            </w:pPr>
            <w:r>
              <w:t xml:space="preserve">Statutory </w:t>
            </w:r>
            <w:r w:rsidR="008B45C4">
              <w:t>lodgement</w:t>
            </w:r>
            <w:r>
              <w:t>, payment &amp; compliance management</w:t>
            </w:r>
          </w:p>
          <w:p w14:paraId="6020AC36" w14:textId="77777777" w:rsidR="003C002D" w:rsidRDefault="004E78DB">
            <w:pPr>
              <w:pStyle w:val="ListParagraph"/>
              <w:numPr>
                <w:ilvl w:val="0"/>
                <w:numId w:val="2"/>
              </w:numPr>
              <w:spacing w:before="38" w:after="38"/>
            </w:pPr>
            <w:r>
              <w:t>Client onboarding, implementation &amp; advisory support</w:t>
            </w:r>
          </w:p>
          <w:p w14:paraId="607B8A87" w14:textId="77777777" w:rsidR="003C002D" w:rsidRDefault="004E78DB">
            <w:pPr>
              <w:pStyle w:val="ListParagraph"/>
              <w:numPr>
                <w:ilvl w:val="0"/>
                <w:numId w:val="2"/>
              </w:numPr>
              <w:spacing w:before="38" w:after="38"/>
            </w:pPr>
            <w:r>
              <w:t>Complex legislation interpretation &amp; application</w:t>
            </w:r>
          </w:p>
        </w:tc>
        <w:tc>
          <w:tcPr>
            <w:tcW w:w="5077" w:type="dxa"/>
            <w:tcBorders>
              <w:top w:val="none" w:sz="0" w:space="0" w:color="FFFFFF"/>
              <w:left w:val="none" w:sz="0" w:space="0" w:color="FFFFFF"/>
              <w:bottom w:val="none" w:sz="0" w:space="0" w:color="FFFFFF"/>
              <w:right w:val="none" w:sz="0" w:space="0" w:color="FFFFFF"/>
            </w:tcBorders>
            <w:shd w:val="clear" w:color="auto" w:fill="FFFFFF"/>
            <w:tcMar>
              <w:top w:w="60" w:type="dxa"/>
              <w:left w:w="80" w:type="dxa"/>
              <w:bottom w:w="40" w:type="dxa"/>
              <w:right w:w="0" w:type="dxa"/>
            </w:tcMar>
          </w:tcPr>
          <w:p w14:paraId="7E7E40FE" w14:textId="77777777" w:rsidR="003C002D" w:rsidRDefault="004E78DB">
            <w:pPr>
              <w:pStyle w:val="ListParagraph"/>
              <w:numPr>
                <w:ilvl w:val="0"/>
                <w:numId w:val="2"/>
              </w:numPr>
              <w:spacing w:before="38" w:after="38"/>
            </w:pPr>
            <w:r>
              <w:t>Compliance documentation, notices &amp; formal correspondence</w:t>
            </w:r>
          </w:p>
          <w:p w14:paraId="4C905C50" w14:textId="77777777" w:rsidR="003C002D" w:rsidRDefault="004E78DB">
            <w:pPr>
              <w:pStyle w:val="ListParagraph"/>
              <w:numPr>
                <w:ilvl w:val="0"/>
                <w:numId w:val="2"/>
              </w:numPr>
              <w:spacing w:before="38" w:after="38"/>
            </w:pPr>
            <w:r>
              <w:t>Case management &amp; audit-ready record keeping</w:t>
            </w:r>
          </w:p>
          <w:p w14:paraId="593255A2" w14:textId="77777777" w:rsidR="003C002D" w:rsidRDefault="004E78DB">
            <w:pPr>
              <w:pStyle w:val="ListParagraph"/>
              <w:numPr>
                <w:ilvl w:val="0"/>
                <w:numId w:val="2"/>
              </w:numPr>
              <w:spacing w:before="38" w:after="38"/>
            </w:pPr>
            <w:r>
              <w:t>Stakeholder engagement across phone, email &amp; written channels</w:t>
            </w:r>
          </w:p>
          <w:p w14:paraId="7B0C0941" w14:textId="77777777" w:rsidR="003C002D" w:rsidRDefault="004E78DB">
            <w:pPr>
              <w:pStyle w:val="ListParagraph"/>
              <w:numPr>
                <w:ilvl w:val="0"/>
                <w:numId w:val="2"/>
              </w:numPr>
              <w:spacing w:before="38" w:after="38"/>
            </w:pPr>
            <w:r>
              <w:t>Risk analysis, problem-solving &amp; practical client guidance</w:t>
            </w:r>
          </w:p>
        </w:tc>
      </w:tr>
    </w:tbl>
    <w:p w14:paraId="095854E2" w14:textId="77777777" w:rsidR="003C002D" w:rsidRDefault="004E78DB">
      <w:pPr>
        <w:spacing w:before="260" w:after="40"/>
      </w:pPr>
      <w:r>
        <w:rPr>
          <w:b/>
          <w:bCs/>
          <w:color w:val="1B3A5C"/>
          <w:sz w:val="22"/>
          <w:szCs w:val="22"/>
        </w:rPr>
        <w:t>EDUCATION &amp; PROFESSIONAL DEVELOPMENT</w:t>
      </w:r>
    </w:p>
    <w:p w14:paraId="1CBD1069" w14:textId="77777777" w:rsidR="003C002D" w:rsidRDefault="003C002D">
      <w:pPr>
        <w:pBdr>
          <w:bottom w:val="single" w:sz="8" w:space="1" w:color="1A6B72"/>
        </w:pBdr>
        <w:spacing w:before="60"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3C002D" w14:paraId="7424A97F" w14:textId="77777777">
        <w:tc>
          <w:tcPr>
            <w:tcW w:w="10106" w:type="dxa"/>
            <w:tcBorders>
              <w:top w:val="none" w:sz="0" w:space="0" w:color="FFFFFF"/>
              <w:left w:val="none" w:sz="0" w:space="0" w:color="FFFFFF"/>
              <w:bottom w:val="none" w:sz="0" w:space="0" w:color="FFFFFF"/>
              <w:right w:val="none" w:sz="0" w:space="0" w:color="FFFFFF"/>
            </w:tcBorders>
            <w:shd w:val="clear" w:color="auto" w:fill="E8F4F5"/>
            <w:tcMar>
              <w:top w:w="100" w:type="dxa"/>
              <w:left w:w="180" w:type="dxa"/>
              <w:bottom w:w="100" w:type="dxa"/>
              <w:right w:w="180" w:type="dxa"/>
            </w:tcMar>
          </w:tcPr>
          <w:p w14:paraId="1C2B495D" w14:textId="77777777" w:rsidR="003C002D" w:rsidRDefault="004E78DB">
            <w:pPr>
              <w:spacing w:after="30"/>
            </w:pPr>
            <w:r>
              <w:rPr>
                <w:b/>
                <w:bCs/>
                <w:color w:val="1B3A5C"/>
                <w:sz w:val="22"/>
                <w:szCs w:val="22"/>
              </w:rPr>
              <w:t>Certificate IV in Payroll Administration</w:t>
            </w:r>
            <w:r>
              <w:rPr>
                <w:color w:val="1A6B72"/>
              </w:rPr>
              <w:t xml:space="preserve">   —   Australian Payroll Association (APA)</w:t>
            </w:r>
          </w:p>
          <w:p w14:paraId="43AA379F" w14:textId="05458BEB" w:rsidR="003C002D" w:rsidRDefault="004E78DB">
            <w:r>
              <w:rPr>
                <w:i/>
                <w:iCs/>
                <w:sz w:val="19"/>
                <w:szCs w:val="19"/>
              </w:rPr>
              <w:t xml:space="preserve">Completing </w:t>
            </w:r>
            <w:r w:rsidR="00620E1F">
              <w:rPr>
                <w:i/>
                <w:iCs/>
                <w:sz w:val="19"/>
                <w:szCs w:val="19"/>
              </w:rPr>
              <w:t>May</w:t>
            </w:r>
            <w:r>
              <w:rPr>
                <w:i/>
                <w:iCs/>
                <w:sz w:val="19"/>
                <w:szCs w:val="19"/>
              </w:rPr>
              <w:t xml:space="preserve"> </w:t>
            </w:r>
            <w:r w:rsidR="008B45C4">
              <w:rPr>
                <w:i/>
                <w:iCs/>
                <w:sz w:val="19"/>
                <w:szCs w:val="19"/>
              </w:rPr>
              <w:t>2026 | Covers</w:t>
            </w:r>
            <w:r>
              <w:rPr>
                <w:i/>
                <w:iCs/>
                <w:sz w:val="19"/>
                <w:szCs w:val="19"/>
              </w:rPr>
              <w:t>: payroll calculations, superannuation (SG &amp; payday super), STP Phase 2, Fair Work Act &amp; Modern Award interpretation, leave management, payroll tax, termination payments &amp; EOY processing</w:t>
            </w:r>
          </w:p>
        </w:tc>
      </w:tr>
    </w:tbl>
    <w:p w14:paraId="3D876C11" w14:textId="77777777" w:rsidR="003C002D" w:rsidRDefault="003C002D">
      <w:pPr>
        <w:spacing w:before="100" w:after="60"/>
      </w:pPr>
    </w:p>
    <w:p w14:paraId="0F4996A1" w14:textId="2AEDD789" w:rsidR="003C002D" w:rsidRDefault="00FF492F">
      <w:pPr>
        <w:spacing w:before="20" w:after="20"/>
      </w:pPr>
      <w:r>
        <w:rPr>
          <w:b/>
          <w:bCs/>
          <w:color w:val="1B3A5C"/>
        </w:rPr>
        <w:t>Admitted</w:t>
      </w:r>
      <w:r w:rsidR="004E78DB">
        <w:rPr>
          <w:b/>
          <w:bCs/>
          <w:color w:val="1B3A5C"/>
        </w:rPr>
        <w:t xml:space="preserve"> as Lawyer (</w:t>
      </w:r>
      <w:r w:rsidR="008B45C4">
        <w:rPr>
          <w:b/>
          <w:bCs/>
          <w:color w:val="1B3A5C"/>
        </w:rPr>
        <w:t>NSW</w:t>
      </w:r>
      <w:r>
        <w:rPr>
          <w:b/>
          <w:bCs/>
          <w:color w:val="1B3A5C"/>
        </w:rPr>
        <w:t xml:space="preserve"> Supreme Court</w:t>
      </w:r>
      <w:r w:rsidR="008B45C4">
        <w:rPr>
          <w:b/>
          <w:bCs/>
          <w:color w:val="1B3A5C"/>
        </w:rPr>
        <w:t xml:space="preserve">) </w:t>
      </w:r>
      <w:r w:rsidR="008B45C4" w:rsidRPr="008B45C4">
        <w:t>University</w:t>
      </w:r>
      <w:r w:rsidR="004E78DB" w:rsidRPr="008B45C4">
        <w:t xml:space="preserve"> of Sydney</w:t>
      </w:r>
      <w:r w:rsidR="004E78DB">
        <w:t xml:space="preserve"> (2021) &amp; College of Law, Australia (2022)</w:t>
      </w:r>
    </w:p>
    <w:p w14:paraId="152458C9" w14:textId="1A75A72E" w:rsidR="003C002D" w:rsidRDefault="004E78DB">
      <w:pPr>
        <w:spacing w:before="20" w:after="20"/>
      </w:pPr>
      <w:r>
        <w:rPr>
          <w:b/>
          <w:bCs/>
          <w:color w:val="1B3A5C"/>
        </w:rPr>
        <w:t xml:space="preserve">B.A. LL.B. (Hons.)  </w:t>
      </w:r>
      <w:r>
        <w:t>Jamia Millia Islamia University, India (2008</w:t>
      </w:r>
      <w:r w:rsidR="008B45C4">
        <w:t>) |</w:t>
      </w:r>
      <w:r>
        <w:t xml:space="preserve"> 5-year integrated law honours degree</w:t>
      </w:r>
    </w:p>
    <w:p w14:paraId="2E6ED6A3" w14:textId="18B09800" w:rsidR="003C002D" w:rsidRDefault="004E78DB">
      <w:pPr>
        <w:spacing w:before="20" w:after="20"/>
      </w:pPr>
      <w:r>
        <w:rPr>
          <w:b/>
          <w:bCs/>
          <w:color w:val="1B3A5C"/>
        </w:rPr>
        <w:t xml:space="preserve">Postgraduate Diploma in Intellectual Property </w:t>
      </w:r>
      <w:r w:rsidR="008B45C4">
        <w:rPr>
          <w:b/>
          <w:bCs/>
          <w:color w:val="1B3A5C"/>
        </w:rPr>
        <w:t xml:space="preserve">Rights </w:t>
      </w:r>
      <w:r w:rsidR="008B45C4" w:rsidRPr="008B45C4">
        <w:t>Indian</w:t>
      </w:r>
      <w:r>
        <w:t xml:space="preserve"> Law Institute, New Delhi (2008)</w:t>
      </w:r>
    </w:p>
    <w:p w14:paraId="6D2CE6DB" w14:textId="77777777" w:rsidR="003C002D" w:rsidRDefault="004E78DB">
      <w:pPr>
        <w:spacing w:before="260" w:after="40"/>
      </w:pPr>
      <w:r>
        <w:rPr>
          <w:b/>
          <w:bCs/>
          <w:color w:val="1B3A5C"/>
          <w:sz w:val="22"/>
          <w:szCs w:val="22"/>
        </w:rPr>
        <w:t>THE LAW-PAYROLL BRIDGE: TRANSFERABLE VALUE</w:t>
      </w:r>
    </w:p>
    <w:p w14:paraId="6EA14FE0" w14:textId="77777777" w:rsidR="003C002D" w:rsidRDefault="003C002D">
      <w:pPr>
        <w:pBdr>
          <w:bottom w:val="single" w:sz="8" w:space="1" w:color="1A6B72"/>
        </w:pBdr>
        <w:spacing w:before="60" w:after="60"/>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3C002D" w14:paraId="70BA04D6" w14:textId="77777777">
        <w:tc>
          <w:tcPr>
            <w:tcW w:w="10106" w:type="dxa"/>
            <w:tcBorders>
              <w:top w:val="none" w:sz="0" w:space="0" w:color="FFFFFF"/>
              <w:left w:val="none" w:sz="0" w:space="0" w:color="FFFFFF"/>
              <w:bottom w:val="none" w:sz="0" w:space="0" w:color="FFFFFF"/>
              <w:right w:val="none" w:sz="0" w:space="0" w:color="FFFFFF"/>
            </w:tcBorders>
            <w:shd w:val="clear" w:color="auto" w:fill="F2F4F6"/>
            <w:tcMar>
              <w:top w:w="120" w:type="dxa"/>
              <w:left w:w="180" w:type="dxa"/>
              <w:bottom w:w="120" w:type="dxa"/>
              <w:right w:w="180" w:type="dxa"/>
            </w:tcMar>
          </w:tcPr>
          <w:p w14:paraId="3D822901" w14:textId="77777777" w:rsidR="003C002D" w:rsidRDefault="004E78DB">
            <w:pPr>
              <w:spacing w:after="60"/>
            </w:pPr>
            <w:r>
              <w:t>Legal training provides a uniquely powerful foundation for payroll professional services roles:</w:t>
            </w:r>
          </w:p>
          <w:p w14:paraId="456BE31B" w14:textId="77777777" w:rsidR="003C002D" w:rsidRDefault="004E78DB">
            <w:pPr>
              <w:pStyle w:val="ListParagraph"/>
              <w:numPr>
                <w:ilvl w:val="0"/>
                <w:numId w:val="2"/>
              </w:numPr>
              <w:spacing w:before="38" w:after="38"/>
            </w:pPr>
            <w:r>
              <w:t>Statutory interpretation: years of applying legislation to client circumstances maps directly to Fair Work Act, Modern Award, and NES interpretation required in payroll implementations.</w:t>
            </w:r>
          </w:p>
          <w:p w14:paraId="56F4512F" w14:textId="26E16AED" w:rsidR="003C002D" w:rsidRDefault="004E78DB">
            <w:pPr>
              <w:pStyle w:val="ListParagraph"/>
              <w:numPr>
                <w:ilvl w:val="0"/>
                <w:numId w:val="2"/>
              </w:numPr>
              <w:spacing w:before="38" w:after="38"/>
            </w:pPr>
            <w:r>
              <w:t xml:space="preserve">Compliance precision: managing court deadlines and regulatory filings translates seamlessly to STP, superannuation, payroll tax </w:t>
            </w:r>
            <w:r w:rsidR="008B45C4">
              <w:t>lodgement</w:t>
            </w:r>
            <w:r>
              <w:t xml:space="preserve"> accuracy and payday super readiness.</w:t>
            </w:r>
          </w:p>
          <w:p w14:paraId="75DB51C3" w14:textId="77777777" w:rsidR="003C002D" w:rsidRDefault="004E78DB">
            <w:pPr>
              <w:pStyle w:val="ListParagraph"/>
              <w:numPr>
                <w:ilvl w:val="0"/>
                <w:numId w:val="2"/>
              </w:numPr>
              <w:spacing w:before="38" w:after="38"/>
            </w:pPr>
            <w:r>
              <w:t>Client advisory: explaining complex legal positions to non-lawyers is the same skill needed to guide payroll clients through system configuration, UAT, and go-live support.</w:t>
            </w:r>
          </w:p>
          <w:p w14:paraId="79DC8FEF" w14:textId="77777777" w:rsidR="003C002D" w:rsidRDefault="004E78DB">
            <w:pPr>
              <w:pStyle w:val="ListParagraph"/>
              <w:numPr>
                <w:ilvl w:val="0"/>
                <w:numId w:val="2"/>
              </w:numPr>
              <w:spacing w:before="38" w:after="38"/>
            </w:pPr>
            <w:r>
              <w:t>Documentation rigour: legal-quality drafting and record-keeping ensures audit-ready payroll process documentation, client guides, and configuration records.</w:t>
            </w:r>
          </w:p>
          <w:p w14:paraId="1D8ACBD2" w14:textId="77777777" w:rsidR="003C002D" w:rsidRDefault="004E78DB">
            <w:pPr>
              <w:pStyle w:val="ListParagraph"/>
              <w:numPr>
                <w:ilvl w:val="0"/>
                <w:numId w:val="2"/>
              </w:numPr>
              <w:spacing w:before="38" w:after="38"/>
            </w:pPr>
            <w:r>
              <w:t>APA training: structured formal payroll education provides the technical vocabulary, systems knowledge, and payroll-specific frameworks to complement legal compliance expertise.</w:t>
            </w:r>
          </w:p>
        </w:tc>
      </w:tr>
    </w:tbl>
    <w:p w14:paraId="2EC0EF0A" w14:textId="77777777" w:rsidR="008B45C4" w:rsidRDefault="008B45C4">
      <w:pPr>
        <w:spacing w:before="260" w:after="40"/>
        <w:rPr>
          <w:b/>
          <w:bCs/>
          <w:color w:val="1B3A5C"/>
          <w:sz w:val="22"/>
          <w:szCs w:val="22"/>
        </w:rPr>
      </w:pPr>
    </w:p>
    <w:p w14:paraId="02EAE424" w14:textId="77777777" w:rsidR="008B45C4" w:rsidRDefault="008B45C4">
      <w:pPr>
        <w:rPr>
          <w:b/>
          <w:bCs/>
          <w:color w:val="1B3A5C"/>
          <w:sz w:val="22"/>
          <w:szCs w:val="22"/>
        </w:rPr>
      </w:pPr>
      <w:r>
        <w:rPr>
          <w:b/>
          <w:bCs/>
          <w:color w:val="1B3A5C"/>
          <w:sz w:val="22"/>
          <w:szCs w:val="22"/>
        </w:rPr>
        <w:br w:type="page"/>
      </w:r>
    </w:p>
    <w:p w14:paraId="2B5885DF" w14:textId="3A9F0E0D" w:rsidR="003C002D" w:rsidRDefault="004E78DB">
      <w:pPr>
        <w:spacing w:before="260" w:after="40"/>
      </w:pPr>
      <w:r>
        <w:rPr>
          <w:b/>
          <w:bCs/>
          <w:color w:val="1B3A5C"/>
          <w:sz w:val="22"/>
          <w:szCs w:val="22"/>
        </w:rPr>
        <w:lastRenderedPageBreak/>
        <w:t>EMPLOYMENT HISTORY</w:t>
      </w:r>
    </w:p>
    <w:p w14:paraId="7E1486DD" w14:textId="77777777" w:rsidR="003C002D" w:rsidRDefault="003C002D">
      <w:pPr>
        <w:pBdr>
          <w:bottom w:val="single" w:sz="8" w:space="1" w:color="1A6B72"/>
        </w:pBdr>
        <w:spacing w:before="60" w:after="60"/>
      </w:pPr>
    </w:p>
    <w:p w14:paraId="7486B7BB" w14:textId="77777777" w:rsidR="003C002D" w:rsidRDefault="004E78DB">
      <w:pPr>
        <w:spacing w:before="180" w:after="20"/>
      </w:pPr>
      <w:r>
        <w:rPr>
          <w:b/>
          <w:bCs/>
          <w:color w:val="1B3A5C"/>
          <w:sz w:val="22"/>
          <w:szCs w:val="22"/>
        </w:rPr>
        <w:t>IP Consultant</w:t>
      </w:r>
    </w:p>
    <w:p w14:paraId="6F436D0D" w14:textId="77777777" w:rsidR="003C002D" w:rsidRDefault="004E78DB">
      <w:pPr>
        <w:spacing w:after="20"/>
      </w:pPr>
      <w:r>
        <w:rPr>
          <w:b/>
          <w:bCs/>
          <w:color w:val="1A6B72"/>
        </w:rPr>
        <w:t>DC Strategy Lawyers — Sydney, Australia</w:t>
      </w:r>
      <w:r>
        <w:rPr>
          <w:color w:val="888888"/>
          <w:sz w:val="19"/>
          <w:szCs w:val="19"/>
        </w:rPr>
        <w:t xml:space="preserve">   |   </w:t>
      </w:r>
      <w:r w:rsidRPr="00B9027D">
        <w:rPr>
          <w:color w:val="3A3A3A" w:themeColor="background2" w:themeShade="40"/>
          <w:sz w:val="19"/>
          <w:szCs w:val="19"/>
        </w:rPr>
        <w:t>November 2021 – March 2024</w:t>
      </w:r>
    </w:p>
    <w:p w14:paraId="08BB9020" w14:textId="77777777" w:rsidR="003C002D" w:rsidRDefault="004E78DB">
      <w:pPr>
        <w:spacing w:before="40" w:after="30"/>
      </w:pPr>
      <w:r>
        <w:rPr>
          <w:b/>
          <w:bCs/>
          <w:i/>
          <w:iCs/>
          <w:color w:val="1A6B72"/>
          <w:sz w:val="19"/>
          <w:szCs w:val="19"/>
        </w:rPr>
        <w:t>Payroll &amp; Professional Services Relevance:</w:t>
      </w:r>
    </w:p>
    <w:p w14:paraId="1E94CD9B" w14:textId="27B6D3AB" w:rsidR="003C002D" w:rsidRDefault="004E78DB">
      <w:pPr>
        <w:pStyle w:val="ListParagraph"/>
        <w:numPr>
          <w:ilvl w:val="0"/>
          <w:numId w:val="2"/>
        </w:numPr>
        <w:spacing w:before="38" w:after="38"/>
      </w:pPr>
      <w:r>
        <w:t xml:space="preserve">Managed high-volume statutory filings with strict deadline compliance — directly analogous to payroll </w:t>
      </w:r>
      <w:r w:rsidR="008B45C4">
        <w:t>lodgement</w:t>
      </w:r>
      <w:r>
        <w:t>, STP and superannuation obligations.</w:t>
      </w:r>
    </w:p>
    <w:p w14:paraId="4DA06CB4" w14:textId="77777777" w:rsidR="003C002D" w:rsidRDefault="004E78DB">
      <w:pPr>
        <w:pStyle w:val="ListParagraph"/>
        <w:numPr>
          <w:ilvl w:val="0"/>
          <w:numId w:val="2"/>
        </w:numPr>
        <w:spacing w:before="38" w:after="38"/>
      </w:pPr>
      <w:r>
        <w:t>Prepared and issued formal legal notices and compliance correspondence, developing precision documentation skills applicable to payroll variation, dispute, and audit processes.</w:t>
      </w:r>
    </w:p>
    <w:p w14:paraId="1E77147A" w14:textId="77777777" w:rsidR="003C002D" w:rsidRDefault="004E78DB">
      <w:pPr>
        <w:pStyle w:val="ListParagraph"/>
        <w:numPr>
          <w:ilvl w:val="0"/>
          <w:numId w:val="2"/>
        </w:numPr>
        <w:spacing w:before="38" w:after="38"/>
      </w:pPr>
      <w:r>
        <w:t>Maintained audit-ready client registers and case records — mirroring data integrity standards required in payroll system administration and reporting.</w:t>
      </w:r>
    </w:p>
    <w:p w14:paraId="5959530D" w14:textId="77777777" w:rsidR="003C002D" w:rsidRDefault="004E78DB">
      <w:pPr>
        <w:pStyle w:val="ListParagraph"/>
        <w:numPr>
          <w:ilvl w:val="0"/>
          <w:numId w:val="2"/>
        </w:numPr>
        <w:spacing w:before="38" w:after="38"/>
      </w:pPr>
      <w:r>
        <w:t>Engaged clients to explain complex regulatory obligations, consequences, and required actions — core capability for payroll implementation training and helpdesk support.</w:t>
      </w:r>
    </w:p>
    <w:p w14:paraId="52D4058B" w14:textId="77777777" w:rsidR="003C002D" w:rsidRDefault="004E78DB">
      <w:pPr>
        <w:pStyle w:val="ListParagraph"/>
        <w:numPr>
          <w:ilvl w:val="0"/>
          <w:numId w:val="2"/>
        </w:numPr>
        <w:spacing w:before="38" w:after="38"/>
      </w:pPr>
      <w:r>
        <w:t>Collaborated with internal teams and external stakeholders to resolve complex matters efficiently under competing time pressures.</w:t>
      </w:r>
    </w:p>
    <w:p w14:paraId="2AE58DF3" w14:textId="77777777" w:rsidR="003C002D" w:rsidRDefault="004E78DB">
      <w:pPr>
        <w:pStyle w:val="ListParagraph"/>
        <w:numPr>
          <w:ilvl w:val="0"/>
          <w:numId w:val="2"/>
        </w:numPr>
        <w:spacing w:before="38" w:after="38"/>
      </w:pPr>
      <w:r>
        <w:t>Applied IP legislation across multiple jurisdictions, demonstrating ability to navigate layered regulatory frameworks applicable to multi-state payroll and Award interpretation.</w:t>
      </w:r>
    </w:p>
    <w:p w14:paraId="43835EB2" w14:textId="77777777" w:rsidR="003C002D" w:rsidRDefault="004E78DB">
      <w:pPr>
        <w:spacing w:before="180" w:after="20"/>
      </w:pPr>
      <w:r>
        <w:rPr>
          <w:b/>
          <w:bCs/>
          <w:color w:val="1B3A5C"/>
          <w:sz w:val="22"/>
          <w:szCs w:val="22"/>
        </w:rPr>
        <w:t>Independent Legal Practice</w:t>
      </w:r>
    </w:p>
    <w:p w14:paraId="21D4AE14" w14:textId="77777777" w:rsidR="003C002D" w:rsidRDefault="004E78DB">
      <w:pPr>
        <w:spacing w:after="20"/>
      </w:pPr>
      <w:r>
        <w:rPr>
          <w:b/>
          <w:bCs/>
          <w:color w:val="1A6B72"/>
        </w:rPr>
        <w:t>Civil, Corporate, IP &amp; Employment Law — India</w:t>
      </w:r>
      <w:r>
        <w:rPr>
          <w:color w:val="888888"/>
          <w:sz w:val="19"/>
          <w:szCs w:val="19"/>
        </w:rPr>
        <w:t xml:space="preserve">   |   </w:t>
      </w:r>
      <w:r w:rsidRPr="00B9027D">
        <w:rPr>
          <w:color w:val="3A3A3A" w:themeColor="background2" w:themeShade="40"/>
          <w:sz w:val="19"/>
          <w:szCs w:val="19"/>
        </w:rPr>
        <w:t>July 2012 – August 2019</w:t>
      </w:r>
    </w:p>
    <w:p w14:paraId="7726FFD1" w14:textId="77777777" w:rsidR="003C002D" w:rsidRDefault="004E78DB">
      <w:pPr>
        <w:spacing w:before="40" w:after="30"/>
      </w:pPr>
      <w:r>
        <w:rPr>
          <w:b/>
          <w:bCs/>
          <w:i/>
          <w:iCs/>
          <w:color w:val="1A6B72"/>
          <w:sz w:val="19"/>
          <w:szCs w:val="19"/>
        </w:rPr>
        <w:t>Payroll &amp; Professional Services Relevance:</w:t>
      </w:r>
    </w:p>
    <w:p w14:paraId="2E30EADD" w14:textId="77777777" w:rsidR="003C002D" w:rsidRDefault="004E78DB">
      <w:pPr>
        <w:pStyle w:val="ListParagraph"/>
        <w:numPr>
          <w:ilvl w:val="0"/>
          <w:numId w:val="2"/>
        </w:numPr>
        <w:spacing w:before="38" w:after="38"/>
      </w:pPr>
      <w:r>
        <w:t>Advised clients on employer-employee obligations, director liability, and statutory compliance — building deep understanding of employment obligations aligned with workplace and payroll legislation.</w:t>
      </w:r>
    </w:p>
    <w:p w14:paraId="25AEF688" w14:textId="77777777" w:rsidR="003C002D" w:rsidRDefault="004E78DB">
      <w:pPr>
        <w:pStyle w:val="ListParagraph"/>
        <w:numPr>
          <w:ilvl w:val="0"/>
          <w:numId w:val="2"/>
        </w:numPr>
        <w:spacing w:before="38" w:after="38"/>
      </w:pPr>
      <w:r>
        <w:t>Developed workplace policies and sexual harassment compliance frameworks aligned with statutory requirements — experience applicable to Fair Work compliance and enterprise agreement navigation.</w:t>
      </w:r>
    </w:p>
    <w:p w14:paraId="44347581" w14:textId="77777777" w:rsidR="003C002D" w:rsidRDefault="004E78DB">
      <w:pPr>
        <w:pStyle w:val="ListParagraph"/>
        <w:numPr>
          <w:ilvl w:val="0"/>
          <w:numId w:val="2"/>
        </w:numPr>
        <w:spacing w:before="38" w:after="38"/>
      </w:pPr>
      <w:r>
        <w:t>Drafted and reviewed corporate and commercial agreements with high precision — paralleling payroll contract, variation, and Enterprise Agreement review skills.</w:t>
      </w:r>
    </w:p>
    <w:p w14:paraId="2B8CB540" w14:textId="77777777" w:rsidR="003C002D" w:rsidRDefault="004E78DB">
      <w:pPr>
        <w:pStyle w:val="ListParagraph"/>
        <w:numPr>
          <w:ilvl w:val="0"/>
          <w:numId w:val="2"/>
        </w:numPr>
        <w:spacing w:before="38" w:after="38"/>
      </w:pPr>
      <w:r>
        <w:t>Managed trademark and copyright filings across multiple jurisdictions, demonstrating ability to handle concurrent compliance tasks across different regulatory frameworks simultaneously.</w:t>
      </w:r>
    </w:p>
    <w:p w14:paraId="5012147E" w14:textId="77777777" w:rsidR="003C002D" w:rsidRDefault="004E78DB">
      <w:pPr>
        <w:pStyle w:val="ListParagraph"/>
        <w:numPr>
          <w:ilvl w:val="0"/>
          <w:numId w:val="2"/>
        </w:numPr>
        <w:spacing w:before="38" w:after="38"/>
      </w:pPr>
      <w:r>
        <w:t>Prepared legal opinions supporting informed client decision-making — transferable to providing payroll configuration recommendations and exception analysis during client implementations.</w:t>
      </w:r>
    </w:p>
    <w:p w14:paraId="60A9011C" w14:textId="77777777" w:rsidR="003C002D" w:rsidRDefault="004E78DB">
      <w:pPr>
        <w:spacing w:before="180" w:after="20"/>
      </w:pPr>
      <w:r>
        <w:rPr>
          <w:b/>
          <w:bCs/>
          <w:color w:val="1B3A5C"/>
          <w:sz w:val="22"/>
          <w:szCs w:val="22"/>
        </w:rPr>
        <w:t>Senior Associate</w:t>
      </w:r>
    </w:p>
    <w:p w14:paraId="4E9C791F" w14:textId="77777777" w:rsidR="003C002D" w:rsidRDefault="004E78DB">
      <w:pPr>
        <w:spacing w:after="20"/>
      </w:pPr>
      <w:r>
        <w:rPr>
          <w:b/>
          <w:bCs/>
          <w:color w:val="1A6B72"/>
        </w:rPr>
        <w:t>Mars &amp; Partners, Advocates &amp; Solicitors</w:t>
      </w:r>
      <w:r>
        <w:rPr>
          <w:color w:val="888888"/>
          <w:sz w:val="19"/>
          <w:szCs w:val="19"/>
        </w:rPr>
        <w:t xml:space="preserve">   |   </w:t>
      </w:r>
      <w:r w:rsidRPr="00B9027D">
        <w:rPr>
          <w:color w:val="3A3A3A" w:themeColor="background2" w:themeShade="40"/>
          <w:sz w:val="19"/>
          <w:szCs w:val="19"/>
        </w:rPr>
        <w:t>April 2010 – August 2011</w:t>
      </w:r>
    </w:p>
    <w:p w14:paraId="63DF6DF4" w14:textId="77777777" w:rsidR="003C002D" w:rsidRDefault="004E78DB">
      <w:pPr>
        <w:pStyle w:val="ListParagraph"/>
        <w:numPr>
          <w:ilvl w:val="0"/>
          <w:numId w:val="2"/>
        </w:numPr>
        <w:spacing w:before="38" w:after="38"/>
      </w:pPr>
      <w:r>
        <w:t>Independently managed civil litigation, M&amp;A compliance, and IP matters across multiple regulatory forums.</w:t>
      </w:r>
    </w:p>
    <w:p w14:paraId="0D8A25BA" w14:textId="77777777" w:rsidR="003C002D" w:rsidRDefault="004E78DB">
      <w:pPr>
        <w:pStyle w:val="ListParagraph"/>
        <w:numPr>
          <w:ilvl w:val="0"/>
          <w:numId w:val="2"/>
        </w:numPr>
        <w:spacing w:before="38" w:after="38"/>
      </w:pPr>
      <w:r>
        <w:t>Drafted and reviewed IP licences and commercial agreements, demonstrating contract literacy applicable to payroll and employment agreement reviews.</w:t>
      </w:r>
    </w:p>
    <w:p w14:paraId="07D5FC42" w14:textId="77777777" w:rsidR="003C002D" w:rsidRDefault="004E78DB">
      <w:pPr>
        <w:pStyle w:val="ListParagraph"/>
        <w:numPr>
          <w:ilvl w:val="0"/>
          <w:numId w:val="2"/>
        </w:numPr>
        <w:spacing w:before="38" w:after="38"/>
      </w:pPr>
      <w:r>
        <w:t>Advised clients on statutory compliance and registrability under complex legislative frameworks.</w:t>
      </w:r>
    </w:p>
    <w:p w14:paraId="373B1F7B" w14:textId="77777777" w:rsidR="003C002D" w:rsidRDefault="004E78DB">
      <w:pPr>
        <w:spacing w:before="180" w:after="20"/>
      </w:pPr>
      <w:r>
        <w:rPr>
          <w:b/>
          <w:bCs/>
          <w:color w:val="1B3A5C"/>
          <w:sz w:val="22"/>
          <w:szCs w:val="22"/>
        </w:rPr>
        <w:t>Associate</w:t>
      </w:r>
    </w:p>
    <w:p w14:paraId="723391AA" w14:textId="3E21CC57" w:rsidR="003C002D" w:rsidRDefault="004E78DB">
      <w:pPr>
        <w:spacing w:after="20"/>
      </w:pPr>
      <w:r>
        <w:rPr>
          <w:b/>
          <w:bCs/>
          <w:color w:val="1A6B72"/>
        </w:rPr>
        <w:t>Dhir &amp; Dhir Associates | Mr. C. Mukund, Advocate — Supreme Court of India</w:t>
      </w:r>
      <w:r>
        <w:rPr>
          <w:color w:val="888888"/>
          <w:sz w:val="19"/>
          <w:szCs w:val="19"/>
        </w:rPr>
        <w:t xml:space="preserve">   |   </w:t>
      </w:r>
      <w:r w:rsidRPr="00B9027D">
        <w:rPr>
          <w:color w:val="3A3A3A" w:themeColor="background2" w:themeShade="40"/>
          <w:sz w:val="19"/>
          <w:szCs w:val="19"/>
        </w:rPr>
        <w:t>June 2008 – April 2012</w:t>
      </w:r>
    </w:p>
    <w:p w14:paraId="3F681ABF" w14:textId="77777777" w:rsidR="003C002D" w:rsidRDefault="004E78DB">
      <w:pPr>
        <w:pStyle w:val="ListParagraph"/>
        <w:numPr>
          <w:ilvl w:val="0"/>
          <w:numId w:val="2"/>
        </w:numPr>
        <w:spacing w:before="38" w:after="38"/>
      </w:pPr>
      <w:r>
        <w:t>Supported corporate litigation before the Company Law Board, AAIFR, Delhi High Court, and Supreme Court of India.</w:t>
      </w:r>
    </w:p>
    <w:p w14:paraId="17D6F21F" w14:textId="77777777" w:rsidR="003C002D" w:rsidRDefault="004E78DB">
      <w:pPr>
        <w:pStyle w:val="ListParagraph"/>
        <w:numPr>
          <w:ilvl w:val="0"/>
          <w:numId w:val="2"/>
        </w:numPr>
        <w:spacing w:before="38" w:after="38"/>
      </w:pPr>
      <w:r>
        <w:t>Drafted petitions, legal opinions, and client briefs across civil, corporate, IP, and constitutional matters.</w:t>
      </w:r>
    </w:p>
    <w:p w14:paraId="2C1355D9" w14:textId="77777777" w:rsidR="003C002D" w:rsidRDefault="004E78DB">
      <w:pPr>
        <w:pStyle w:val="ListParagraph"/>
        <w:numPr>
          <w:ilvl w:val="0"/>
          <w:numId w:val="2"/>
        </w:numPr>
        <w:spacing w:before="38" w:after="38"/>
      </w:pPr>
      <w:r>
        <w:t>Assisted in arbitration proceedings and consumer dispute forums, building strong procedural discipline and documentation accuracy under pressure.</w:t>
      </w:r>
    </w:p>
    <w:p w14:paraId="7CD11D5A" w14:textId="77777777" w:rsidR="003C002D" w:rsidRDefault="004E78DB">
      <w:pPr>
        <w:pStyle w:val="ListParagraph"/>
        <w:numPr>
          <w:ilvl w:val="0"/>
          <w:numId w:val="2"/>
        </w:numPr>
        <w:spacing w:before="38" w:after="38"/>
      </w:pPr>
      <w:r>
        <w:t>Collaborated with senior counsel and clients to develop case strategies, gather evidence, and progress matters efficiently.</w:t>
      </w:r>
    </w:p>
    <w:p w14:paraId="41ADF740" w14:textId="77777777" w:rsidR="00971FBD" w:rsidRDefault="00971FBD" w:rsidP="00FF492F">
      <w:pPr>
        <w:spacing w:before="260" w:after="40"/>
        <w:rPr>
          <w:b/>
          <w:bCs/>
          <w:color w:val="1B3A5C"/>
          <w:sz w:val="22"/>
          <w:szCs w:val="22"/>
        </w:rPr>
      </w:pPr>
    </w:p>
    <w:p w14:paraId="025B99B3" w14:textId="5976E7F8" w:rsidR="00FF492F" w:rsidRDefault="00FF492F" w:rsidP="00FF492F">
      <w:pPr>
        <w:spacing w:before="260" w:after="40"/>
      </w:pPr>
      <w:r>
        <w:rPr>
          <w:b/>
          <w:bCs/>
          <w:color w:val="1B3A5C"/>
          <w:sz w:val="22"/>
          <w:szCs w:val="22"/>
        </w:rPr>
        <w:t>INDUSTRY CERTIFICATIONS</w:t>
      </w:r>
    </w:p>
    <w:p w14:paraId="0F240BEC" w14:textId="77777777" w:rsidR="00FF492F" w:rsidRDefault="00FF492F" w:rsidP="00FF492F">
      <w:pPr>
        <w:pBdr>
          <w:bottom w:val="single" w:sz="8" w:space="1" w:color="1A6B72"/>
        </w:pBdr>
        <w:spacing w:before="60" w:after="60"/>
      </w:pPr>
    </w:p>
    <w:p w14:paraId="067FD01B" w14:textId="1D114865" w:rsidR="00FF492F" w:rsidRPr="00FF492F" w:rsidRDefault="00FF492F" w:rsidP="00FF492F">
      <w:pPr>
        <w:spacing w:before="160"/>
        <w:rPr>
          <w:b/>
          <w:bCs/>
          <w:color w:val="1B3A5C"/>
        </w:rPr>
      </w:pPr>
      <w:r w:rsidRPr="00FF492F">
        <w:rPr>
          <w:b/>
          <w:bCs/>
          <w:color w:val="1B3A5C"/>
        </w:rPr>
        <w:t xml:space="preserve">Fundamentals of Intellectual Property for Industry – </w:t>
      </w:r>
      <w:r w:rsidRPr="00FF492F">
        <w:t>University of Technology Sydney, 2023</w:t>
      </w:r>
      <w:r w:rsidRPr="00FF492F">
        <w:rPr>
          <w:color w:val="1B3A5C"/>
        </w:rPr>
        <w:br/>
      </w:r>
      <w:r>
        <w:rPr>
          <w:b/>
          <w:bCs/>
          <w:color w:val="1B3A5C"/>
        </w:rPr>
        <w:t>S</w:t>
      </w:r>
      <w:r w:rsidRPr="00FF492F">
        <w:rPr>
          <w:b/>
          <w:bCs/>
          <w:color w:val="1B3A5C"/>
        </w:rPr>
        <w:t xml:space="preserve">pecialised Course on Madrid System for the International Registration of Trademarks – </w:t>
      </w:r>
      <w:r w:rsidRPr="00FF492F">
        <w:t>WIPO, 2022</w:t>
      </w:r>
      <w:r w:rsidRPr="00FF492F">
        <w:rPr>
          <w:b/>
          <w:bCs/>
          <w:color w:val="1B3A5C"/>
        </w:rPr>
        <w:br/>
        <w:t xml:space="preserve">Advanced Course on Patent Information Search – </w:t>
      </w:r>
      <w:r w:rsidRPr="00FF492F">
        <w:t>WIPO, 2019</w:t>
      </w:r>
      <w:r w:rsidRPr="00FF492F">
        <w:rPr>
          <w:b/>
          <w:bCs/>
          <w:color w:val="1B3A5C"/>
        </w:rPr>
        <w:br/>
        <w:t xml:space="preserve">Advanced Course on Trademarks, Industrial Designs and Geographical Indications – </w:t>
      </w:r>
      <w:r w:rsidRPr="00FF492F">
        <w:t>WIPO, 2018</w:t>
      </w:r>
    </w:p>
    <w:p w14:paraId="3465BA3F" w14:textId="77777777" w:rsidR="003C002D" w:rsidRDefault="003C002D">
      <w:pPr>
        <w:pBdr>
          <w:bottom w:val="single" w:sz="8" w:space="1" w:color="1B3A5C"/>
        </w:pBdr>
        <w:spacing w:before="60" w:after="60"/>
      </w:pPr>
    </w:p>
    <w:p w14:paraId="3DA6CFC3" w14:textId="77777777" w:rsidR="003C002D" w:rsidRDefault="004E78DB">
      <w:pPr>
        <w:spacing w:before="80"/>
        <w:jc w:val="center"/>
      </w:pPr>
      <w:r>
        <w:rPr>
          <w:i/>
          <w:iCs/>
          <w:color w:val="888888"/>
          <w:sz w:val="18"/>
          <w:szCs w:val="18"/>
        </w:rPr>
        <w:t>References available upon request</w:t>
      </w:r>
    </w:p>
    <w:sectPr w:rsidR="003C002D">
      <w:pgSz w:w="11906" w:h="16838"/>
      <w:pgMar w:top="72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2A18"/>
    <w:multiLevelType w:val="hybridMultilevel"/>
    <w:tmpl w:val="1AFA3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2D581D"/>
    <w:multiLevelType w:val="hybridMultilevel"/>
    <w:tmpl w:val="1E9824FC"/>
    <w:lvl w:ilvl="0" w:tplc="4DD2D1DC">
      <w:start w:val="1"/>
      <w:numFmt w:val="bullet"/>
      <w:lvlText w:val="●"/>
      <w:lvlJc w:val="left"/>
      <w:pPr>
        <w:ind w:left="720" w:hanging="360"/>
      </w:pPr>
    </w:lvl>
    <w:lvl w:ilvl="1" w:tplc="5AD8834C">
      <w:start w:val="1"/>
      <w:numFmt w:val="bullet"/>
      <w:lvlText w:val="○"/>
      <w:lvlJc w:val="left"/>
      <w:pPr>
        <w:ind w:left="1440" w:hanging="360"/>
      </w:pPr>
    </w:lvl>
    <w:lvl w:ilvl="2" w:tplc="713A374A">
      <w:start w:val="1"/>
      <w:numFmt w:val="bullet"/>
      <w:lvlText w:val="■"/>
      <w:lvlJc w:val="left"/>
      <w:pPr>
        <w:ind w:left="2160" w:hanging="360"/>
      </w:pPr>
    </w:lvl>
    <w:lvl w:ilvl="3" w:tplc="87F0739E">
      <w:start w:val="1"/>
      <w:numFmt w:val="bullet"/>
      <w:lvlText w:val="●"/>
      <w:lvlJc w:val="left"/>
      <w:pPr>
        <w:ind w:left="2880" w:hanging="360"/>
      </w:pPr>
    </w:lvl>
    <w:lvl w:ilvl="4" w:tplc="F98E3F7A">
      <w:start w:val="1"/>
      <w:numFmt w:val="bullet"/>
      <w:lvlText w:val="○"/>
      <w:lvlJc w:val="left"/>
      <w:pPr>
        <w:ind w:left="3600" w:hanging="360"/>
      </w:pPr>
    </w:lvl>
    <w:lvl w:ilvl="5" w:tplc="B11C0C90">
      <w:start w:val="1"/>
      <w:numFmt w:val="bullet"/>
      <w:lvlText w:val="■"/>
      <w:lvlJc w:val="left"/>
      <w:pPr>
        <w:ind w:left="4320" w:hanging="360"/>
      </w:pPr>
    </w:lvl>
    <w:lvl w:ilvl="6" w:tplc="4C8AC040">
      <w:start w:val="1"/>
      <w:numFmt w:val="bullet"/>
      <w:lvlText w:val="●"/>
      <w:lvlJc w:val="left"/>
      <w:pPr>
        <w:ind w:left="5040" w:hanging="360"/>
      </w:pPr>
    </w:lvl>
    <w:lvl w:ilvl="7" w:tplc="DF1838E0">
      <w:start w:val="1"/>
      <w:numFmt w:val="bullet"/>
      <w:lvlText w:val="●"/>
      <w:lvlJc w:val="left"/>
      <w:pPr>
        <w:ind w:left="5760" w:hanging="360"/>
      </w:pPr>
    </w:lvl>
    <w:lvl w:ilvl="8" w:tplc="559A715C">
      <w:start w:val="1"/>
      <w:numFmt w:val="bullet"/>
      <w:lvlText w:val="●"/>
      <w:lvlJc w:val="left"/>
      <w:pPr>
        <w:ind w:left="6480" w:hanging="360"/>
      </w:pPr>
    </w:lvl>
  </w:abstractNum>
  <w:abstractNum w:abstractNumId="2" w15:restartNumberingAfterBreak="0">
    <w:nsid w:val="752F5402"/>
    <w:multiLevelType w:val="hybridMultilevel"/>
    <w:tmpl w:val="4636E6E6"/>
    <w:lvl w:ilvl="0" w:tplc="B9C2BCDC">
      <w:start w:val="1"/>
      <w:numFmt w:val="bullet"/>
      <w:lvlText w:val="•"/>
      <w:lvlJc w:val="left"/>
      <w:pPr>
        <w:ind w:left="600" w:hanging="300"/>
      </w:pPr>
    </w:lvl>
    <w:lvl w:ilvl="1" w:tplc="F8881F1E">
      <w:numFmt w:val="decimal"/>
      <w:lvlText w:val=""/>
      <w:lvlJc w:val="left"/>
    </w:lvl>
    <w:lvl w:ilvl="2" w:tplc="3FBA19B2">
      <w:numFmt w:val="decimal"/>
      <w:lvlText w:val=""/>
      <w:lvlJc w:val="left"/>
    </w:lvl>
    <w:lvl w:ilvl="3" w:tplc="4502F142">
      <w:numFmt w:val="decimal"/>
      <w:lvlText w:val=""/>
      <w:lvlJc w:val="left"/>
    </w:lvl>
    <w:lvl w:ilvl="4" w:tplc="34A40402">
      <w:numFmt w:val="decimal"/>
      <w:lvlText w:val=""/>
      <w:lvlJc w:val="left"/>
    </w:lvl>
    <w:lvl w:ilvl="5" w:tplc="279E4958">
      <w:numFmt w:val="decimal"/>
      <w:lvlText w:val=""/>
      <w:lvlJc w:val="left"/>
    </w:lvl>
    <w:lvl w:ilvl="6" w:tplc="170EE4FC">
      <w:numFmt w:val="decimal"/>
      <w:lvlText w:val=""/>
      <w:lvlJc w:val="left"/>
    </w:lvl>
    <w:lvl w:ilvl="7" w:tplc="3BDA705C">
      <w:numFmt w:val="decimal"/>
      <w:lvlText w:val=""/>
      <w:lvlJc w:val="left"/>
    </w:lvl>
    <w:lvl w:ilvl="8" w:tplc="0F907476">
      <w:numFmt w:val="decimal"/>
      <w:lvlText w:val=""/>
      <w:lvlJc w:val="left"/>
    </w:lvl>
  </w:abstractNum>
  <w:num w:numId="1" w16cid:durableId="1283535610">
    <w:abstractNumId w:val="1"/>
    <w:lvlOverride w:ilvl="0">
      <w:startOverride w:val="1"/>
    </w:lvlOverride>
  </w:num>
  <w:num w:numId="2" w16cid:durableId="1412848374">
    <w:abstractNumId w:val="2"/>
    <w:lvlOverride w:ilvl="0">
      <w:startOverride w:val="1"/>
    </w:lvlOverride>
  </w:num>
  <w:num w:numId="3" w16cid:durableId="212969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02D"/>
    <w:rsid w:val="00363432"/>
    <w:rsid w:val="003C002D"/>
    <w:rsid w:val="004E78DB"/>
    <w:rsid w:val="00612E54"/>
    <w:rsid w:val="00620E1F"/>
    <w:rsid w:val="006A615E"/>
    <w:rsid w:val="008B45C4"/>
    <w:rsid w:val="00971FBD"/>
    <w:rsid w:val="009D743F"/>
    <w:rsid w:val="00B9027D"/>
    <w:rsid w:val="00BF0DEC"/>
    <w:rsid w:val="00FF49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CDB8"/>
  <w15:docId w15:val="{8B82B1E1-B065-487B-A92C-B6C8D3178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Vaddi Rakesh</cp:lastModifiedBy>
  <cp:revision>3</cp:revision>
  <cp:lastPrinted>2026-04-23T23:46:00Z</cp:lastPrinted>
  <dcterms:created xsi:type="dcterms:W3CDTF">2026-04-23T23:47:00Z</dcterms:created>
  <dcterms:modified xsi:type="dcterms:W3CDTF">2026-04-30T14:16:00Z</dcterms:modified>
</cp:coreProperties>
</file>