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60" w:before="0"/>
        <w:jc w:val="center"/>
      </w:pPr>
      <w:r>
        <w:rPr>
          <w:rFonts w:ascii="Arial" w:cs="Arial" w:eastAsia="Arial" w:hAnsi="Arial"/>
          <w:b/>
          <w:bCs/>
          <w:caps/>
          <w:color w:val="1A1A3E"/>
          <w:sz w:val="48"/>
          <w:szCs w:val="48"/>
        </w:rPr>
        <w:t xml:space="preserve">TENNIS ANALYTICS PLATFORM</w:t>
      </w:r>
    </w:p>
    <w:p>
      <w:pPr>
        <w:spacing w:after="40" w:before="0"/>
        <w:jc w:val="center"/>
      </w:pPr>
      <w:r>
        <w:rPr>
          <w:rFonts w:ascii="Arial" w:cs="Arial" w:eastAsia="Arial" w:hAnsi="Arial"/>
          <w:color w:val="5B21B6"/>
          <w:sz w:val="36"/>
          <w:szCs w:val="36"/>
        </w:rPr>
        <w:t xml:space="preserve">Business Analyst Report</w:t>
      </w:r>
    </w:p>
    <w:p>
      <w:pPr>
        <w:spacing w:after="200" w:before="0"/>
        <w:jc w:val="center"/>
      </w:pPr>
      <w:r>
        <w:rPr>
          <w:rFonts w:ascii="Arial" w:cs="Arial" w:eastAsia="Arial" w:hAnsi="Arial"/>
          <w:i/>
          <w:iCs/>
          <w:color w:val="6B7280"/>
          <w:sz w:val="22"/>
          <w:szCs w:val="22"/>
        </w:rPr>
        <w:t xml:space="preserve">Global Competitive Intelligence &amp; Ecosystem Analysis</w:t>
      </w:r>
    </w:p>
    <w:p>
      <w:pPr>
        <w:pBdr>
          <w:bottom w:val="single" w:color="E5E7EB" w:sz="4" w:space="1"/>
        </w:pBdr>
        <w:spacing w:after="80" w:before="8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F5F3FF" w:val="clear"/>
            <w:tcMar>
              <w:top w:type="dxa" w:w="120"/>
              <w:left w:type="dxa" w:w="160"/>
              <w:bottom w:type="dxa" w:w="120"/>
              <w:right w:type="dxa" w:w="160"/>
            </w:tcMar>
          </w:tcPr>
          <w:p>
            <w:pPr>
              <w:jc w:val="center"/>
            </w:pPr>
            <w:r>
              <w:rPr>
                <w:rFonts w:ascii="Arial" w:cs="Arial" w:eastAsia="Arial" w:hAnsi="Arial"/>
                <w:b/>
                <w:bCs/>
                <w:caps/>
                <w:color w:val="6B7280"/>
                <w:sz w:val="16"/>
                <w:szCs w:val="16"/>
              </w:rPr>
              <w:t xml:space="preserve">Total Competitors</w:t>
            </w:r>
          </w:p>
          <w:p>
            <w:pPr>
              <w:jc w:val="center"/>
            </w:pPr>
            <w:r>
              <w:rPr>
                <w:rFonts w:ascii="Arial" w:cs="Arial" w:eastAsia="Arial" w:hAnsi="Arial"/>
                <w:b/>
                <w:bCs/>
                <w:color w:val="5B21B6"/>
                <w:sz w:val="36"/>
                <w:szCs w:val="36"/>
              </w:rPr>
              <w:t xml:space="preserve">1,015</w:t>
            </w:r>
          </w:p>
          <w:p>
            <w:pPr>
              <w:jc w:val="center"/>
            </w:pPr>
            <w:r>
              <w:rPr>
                <w:rFonts w:ascii="Arial" w:cs="Arial" w:eastAsia="Arial" w:hAnsi="Arial"/>
                <w:color w:val="6B7280"/>
                <w:sz w:val="16"/>
                <w:szCs w:val="16"/>
              </w:rPr>
              <w:t xml:space="preserve">Active Players</w:t>
            </w:r>
          </w:p>
        </w:tc>
        <w:tc>
          <w:tcPr>
            <w:tcW w:type="dxa" w:w="2340"/>
            <w:tcBorders>
              <w:top w:val="single" w:color="D1D5DB" w:sz="1"/>
              <w:left w:val="single" w:color="D1D5DB" w:sz="1"/>
              <w:bottom w:val="single" w:color="D1D5DB" w:sz="1"/>
              <w:right w:val="single" w:color="D1D5DB" w:sz="1"/>
            </w:tcBorders>
            <w:shd w:fill="F5F3FF" w:val="clear"/>
            <w:tcMar>
              <w:top w:type="dxa" w:w="120"/>
              <w:left w:type="dxa" w:w="160"/>
              <w:bottom w:type="dxa" w:w="120"/>
              <w:right w:type="dxa" w:w="160"/>
            </w:tcMar>
          </w:tcPr>
          <w:p>
            <w:pPr>
              <w:jc w:val="center"/>
            </w:pPr>
            <w:r>
              <w:rPr>
                <w:rFonts w:ascii="Arial" w:cs="Arial" w:eastAsia="Arial" w:hAnsi="Arial"/>
                <w:b/>
                <w:bCs/>
                <w:caps/>
                <w:color w:val="6B7280"/>
                <w:sz w:val="16"/>
                <w:szCs w:val="16"/>
              </w:rPr>
              <w:t xml:space="preserve">Total Competitions</w:t>
            </w:r>
          </w:p>
          <w:p>
            <w:pPr>
              <w:jc w:val="center"/>
            </w:pPr>
            <w:r>
              <w:rPr>
                <w:rFonts w:ascii="Arial" w:cs="Arial" w:eastAsia="Arial" w:hAnsi="Arial"/>
                <w:b/>
                <w:bCs/>
                <w:color w:val="5B21B6"/>
                <w:sz w:val="36"/>
                <w:szCs w:val="36"/>
              </w:rPr>
              <w:t xml:space="preserve">6,587</w:t>
            </w:r>
          </w:p>
          <w:p>
            <w:pPr>
              <w:jc w:val="center"/>
            </w:pPr>
            <w:r>
              <w:rPr>
                <w:rFonts w:ascii="Arial" w:cs="Arial" w:eastAsia="Arial" w:hAnsi="Arial"/>
                <w:color w:val="6B7280"/>
                <w:sz w:val="16"/>
                <w:szCs w:val="16"/>
              </w:rPr>
              <w:t xml:space="preserve">Events Tracked</w:t>
            </w:r>
          </w:p>
        </w:tc>
        <w:tc>
          <w:tcPr>
            <w:tcW w:type="dxa" w:w="2340"/>
            <w:tcBorders>
              <w:top w:val="single" w:color="D1D5DB" w:sz="1"/>
              <w:left w:val="single" w:color="D1D5DB" w:sz="1"/>
              <w:bottom w:val="single" w:color="D1D5DB" w:sz="1"/>
              <w:right w:val="single" w:color="D1D5DB" w:sz="1"/>
            </w:tcBorders>
            <w:shd w:fill="F5F3FF" w:val="clear"/>
            <w:tcMar>
              <w:top w:type="dxa" w:w="120"/>
              <w:left w:type="dxa" w:w="160"/>
              <w:bottom w:type="dxa" w:w="120"/>
              <w:right w:type="dxa" w:w="160"/>
            </w:tcMar>
          </w:tcPr>
          <w:p>
            <w:pPr>
              <w:jc w:val="center"/>
            </w:pPr>
            <w:r>
              <w:rPr>
                <w:rFonts w:ascii="Arial" w:cs="Arial" w:eastAsia="Arial" w:hAnsi="Arial"/>
                <w:b/>
                <w:bCs/>
                <w:caps/>
                <w:color w:val="6B7280"/>
                <w:sz w:val="16"/>
                <w:szCs w:val="16"/>
              </w:rPr>
              <w:t xml:space="preserve">Avg Ranking Points</w:t>
            </w:r>
          </w:p>
          <w:p>
            <w:pPr>
              <w:jc w:val="center"/>
            </w:pPr>
            <w:r>
              <w:rPr>
                <w:rFonts w:ascii="Arial" w:cs="Arial" w:eastAsia="Arial" w:hAnsi="Arial"/>
                <w:b/>
                <w:bCs/>
                <w:color w:val="5B21B6"/>
                <w:sz w:val="36"/>
                <w:szCs w:val="36"/>
              </w:rPr>
              <w:t xml:space="preserve">718</w:t>
            </w:r>
          </w:p>
          <w:p>
            <w:pPr>
              <w:jc w:val="center"/>
            </w:pPr>
            <w:r>
              <w:rPr>
                <w:rFonts w:ascii="Arial" w:cs="Arial" w:eastAsia="Arial" w:hAnsi="Arial"/>
                <w:color w:val="6B7280"/>
                <w:sz w:val="16"/>
                <w:szCs w:val="16"/>
              </w:rPr>
              <w:t xml:space="preserve">Across ATP &amp; WTA</w:t>
            </w:r>
          </w:p>
        </w:tc>
        <w:tc>
          <w:tcPr>
            <w:tcW w:type="dxa" w:w="2340"/>
            <w:tcBorders>
              <w:top w:val="single" w:color="D1D5DB" w:sz="1"/>
              <w:left w:val="single" w:color="D1D5DB" w:sz="1"/>
              <w:bottom w:val="single" w:color="D1D5DB" w:sz="1"/>
              <w:right w:val="single" w:color="D1D5DB" w:sz="1"/>
            </w:tcBorders>
            <w:shd w:fill="F5F3FF" w:val="clear"/>
            <w:tcMar>
              <w:top w:type="dxa" w:w="120"/>
              <w:left w:type="dxa" w:w="160"/>
              <w:bottom w:type="dxa" w:w="120"/>
              <w:right w:type="dxa" w:w="160"/>
            </w:tcMar>
          </w:tcPr>
          <w:p>
            <w:pPr>
              <w:jc w:val="center"/>
            </w:pPr>
            <w:r>
              <w:rPr>
                <w:rFonts w:ascii="Arial" w:cs="Arial" w:eastAsia="Arial" w:hAnsi="Arial"/>
                <w:b/>
                <w:bCs/>
                <w:caps/>
                <w:color w:val="6B7280"/>
                <w:sz w:val="16"/>
                <w:szCs w:val="16"/>
              </w:rPr>
              <w:t xml:space="preserve">Countries Represented</w:t>
            </w:r>
          </w:p>
          <w:p>
            <w:pPr>
              <w:jc w:val="center"/>
            </w:pPr>
            <w:r>
              <w:rPr>
                <w:rFonts w:ascii="Arial" w:cs="Arial" w:eastAsia="Arial" w:hAnsi="Arial"/>
                <w:b/>
                <w:bCs/>
                <w:color w:val="5B21B6"/>
                <w:sz w:val="36"/>
                <w:szCs w:val="36"/>
              </w:rPr>
              <w:t xml:space="preserve">74</w:t>
            </w:r>
          </w:p>
          <w:p>
            <w:pPr>
              <w:jc w:val="center"/>
            </w:pPr>
            <w:r>
              <w:rPr>
                <w:rFonts w:ascii="Arial" w:cs="Arial" w:eastAsia="Arial" w:hAnsi="Arial"/>
                <w:color w:val="6B7280"/>
                <w:sz w:val="16"/>
                <w:szCs w:val="16"/>
              </w:rPr>
              <w:t xml:space="preserve">Global Reach</w:t>
            </w:r>
          </w:p>
        </w:tc>
      </w:tr>
    </w:tbl>
    <w:p>
      <w:pPr>
        <w:spacing w:after="0" w:before="40"/>
      </w:pPr>
      <w:r>
        <w:t xml:space="preserve"/>
      </w:r>
    </w:p>
    <w:p>
      <w:pPr>
        <w:pBdr>
          <w:bottom w:val="single" w:color="E5E7EB" w:sz="4" w:space="1"/>
        </w:pBdr>
        <w:spacing w:after="80" w:before="80"/>
      </w:pPr>
      <w:r>
        <w:t xml:space="preserve"/>
      </w:r>
    </w:p>
    <w:p>
      <w:pPr>
        <w:spacing w:after="0" w:before="60"/>
        <w:jc w:val="right"/>
      </w:pPr>
      <w:r>
        <w:rPr>
          <w:rFonts w:ascii="Arial" w:cs="Arial" w:eastAsia="Arial" w:hAnsi="Arial"/>
          <w:i/>
          <w:iCs/>
          <w:color w:val="6B7280"/>
          <w:sz w:val="18"/>
          <w:szCs w:val="18"/>
        </w:rPr>
        <w:t xml:space="preserve">Prepared by: Senior Business Analyst  |  Date: June 22, 2026</w:t>
      </w:r>
    </w:p>
    <w:p>
      <w:r>
        <w:br w:type="page"/>
      </w:r>
    </w:p>
    <w:p>
      <w:pPr>
        <w:pStyle w:val="Heading1"/>
        <w:spacing w:after="120" w:before="360"/>
      </w:pPr>
      <w:r>
        <w:rPr>
          <w:rFonts w:ascii="Arial" w:cs="Arial" w:eastAsia="Arial" w:hAnsi="Arial"/>
          <w:b/>
          <w:bCs/>
          <w:color w:val="1A1A3E"/>
          <w:sz w:val="30"/>
          <w:szCs w:val="30"/>
        </w:rPr>
        <w:t xml:space="preserve">1. Executive Summary</w:t>
      </w:r>
    </w:p>
    <w:p>
      <w:pPr>
        <w:pBdr>
          <w:bottom w:val="single" w:color="E5E7EB" w:sz="4" w:space="1"/>
        </w:pBdr>
        <w:spacing w:after="80" w:before="80"/>
      </w:pPr>
      <w:r>
        <w:t xml:space="preserve"/>
      </w:r>
    </w:p>
    <w:p>
      <w:pPr>
        <w:spacing w:after="0" w:before="60"/>
      </w:pPr>
      <w:r>
        <w:t xml:space="preserve"/>
      </w:r>
    </w:p>
    <w:p>
      <w:pPr>
        <w:spacing w:after="100" w:before="60"/>
      </w:pPr>
      <w:r>
        <w:rPr>
          <w:rFonts w:ascii="Arial" w:cs="Arial" w:eastAsia="Arial" w:hAnsi="Arial"/>
          <w:color w:val="374151"/>
          <w:sz w:val="21"/>
          <w:szCs w:val="21"/>
        </w:rPr>
        <w:t xml:space="preserve">The Tennis Analytics Platform aggregates performance and participation data across 1,015 active competitors spanning 74 countries, with a combined total of 6,587 competitive events and an average ranking point pool of 718 per player. The dashboard ecosystem — covering overview metrics, advanced player search, country-level analytics, competitor profiling, and leaderboards — reveals a sport with strong global participation but significant concentration of elite performance in a handful of regions and individuals.</w:t>
      </w:r>
    </w:p>
    <w:p>
      <w:pPr>
        <w:spacing w:after="0" w:before="40"/>
      </w:pPr>
      <w:r>
        <w:t xml:space="preserve"/>
      </w:r>
    </w:p>
    <w:p>
      <w:pPr>
        <w:spacing w:after="100" w:before="60"/>
      </w:pPr>
      <w:r>
        <w:rPr>
          <w:rFonts w:ascii="Arial" w:cs="Arial" w:eastAsia="Arial" w:hAnsi="Arial"/>
          <w:color w:val="374151"/>
          <w:sz w:val="21"/>
          <w:szCs w:val="21"/>
        </w:rPr>
        <w:t xml:space="preserve">At the top of the rankings, the ATP and WTA tours exhibit markedly different points distributions. Within the ATP, Harri Heliovaara (Finland) and Henry Patten (Great Britain) share the #1 rank at 8,320 points, while the WTA is led by Katerina Siniakova (Czechia) at 10,500 points — a 26% premium over the top ATP score. The USA dominates by player volume with over 100 registered competitors, while Czechia punches above its weight in raw performance through Siniakova's leadership. The "Top Movers" data flags Daniel Altmaier (Germany) as an extreme outlier, registering movement of nearly 700 positions — a signal that demands investigation for data integrity and competitive momentum alike.</w:t>
      </w:r>
    </w:p>
    <w:p>
      <w:pPr>
        <w:spacing w:after="0" w:before="40"/>
      </w:pPr>
      <w:r>
        <w:t xml:space="preserve"/>
      </w:r>
    </w:p>
    <w:p>
      <w:pPr>
        <w:spacing w:after="100" w:before="60"/>
      </w:pPr>
      <w:r>
        <w:rPr>
          <w:rFonts w:ascii="Arial" w:cs="Arial" w:eastAsia="Arial" w:hAnsi="Arial"/>
          <w:color w:val="374151"/>
          <w:sz w:val="21"/>
          <w:szCs w:val="21"/>
        </w:rPr>
        <w:t xml:space="preserve">Strategically, the platform's data points to opportunities in deepening engagement with underrepresented high-performing countries, investigating rapid rank movers for sponsorship and content potential, and addressing the wide performance distribution gap between ATP and WTA — which may reflect structural differences in tour depth rather than true competitive disparity.</w:t>
      </w:r>
    </w:p>
    <w:p>
      <w:pPr>
        <w:spacing w:after="0" w:before="100"/>
      </w:pPr>
      <w:r>
        <w:t xml:space="preserve"/>
      </w:r>
    </w:p>
    <w:p>
      <w:pPr>
        <w:pStyle w:val="Heading1"/>
        <w:spacing w:after="120" w:before="360"/>
      </w:pPr>
      <w:r>
        <w:rPr>
          <w:rFonts w:ascii="Arial" w:cs="Arial" w:eastAsia="Arial" w:hAnsi="Arial"/>
          <w:b/>
          <w:bCs/>
          <w:color w:val="1A1A3E"/>
          <w:sz w:val="30"/>
          <w:szCs w:val="30"/>
        </w:rPr>
        <w:t xml:space="preserve">2. Key Findings &amp; Data Interpretation</w:t>
      </w:r>
    </w:p>
    <w:p>
      <w:pPr>
        <w:pBdr>
          <w:bottom w:val="single" w:color="E5E7EB" w:sz="4" w:space="1"/>
        </w:pBdr>
        <w:spacing w:after="80" w:before="80"/>
      </w:pPr>
      <w:r>
        <w:t xml:space="preserve"/>
      </w:r>
    </w:p>
    <w:p>
      <w:pPr>
        <w:spacing w:after="0" w:before="60"/>
      </w:pPr>
      <w:r>
        <w:t xml:space="preserve"/>
      </w:r>
    </w:p>
    <w:p>
      <w:pPr>
        <w:pStyle w:val="Heading2"/>
        <w:spacing w:after="80" w:before="240"/>
      </w:pPr>
      <w:r>
        <w:rPr>
          <w:rFonts w:ascii="Arial" w:cs="Arial" w:eastAsia="Arial" w:hAnsi="Arial"/>
          <w:b/>
          <w:bCs/>
          <w:color w:val="5B21B6"/>
          <w:sz w:val="24"/>
          <w:szCs w:val="24"/>
        </w:rPr>
        <w:t xml:space="preserve">2.1  Global Participation Metrics</w:t>
      </w:r>
    </w:p>
    <w:p>
      <w:pPr>
        <w:pStyle w:val="ListParagraph"/>
        <w:numPr>
          <w:ilvl w:val="0"/>
          <w:numId w:val="2"/>
        </w:numPr>
        <w:spacing w:after="40" w:before="40"/>
      </w:pPr>
      <w:r>
        <w:rPr>
          <w:rFonts w:ascii="Arial" w:cs="Arial" w:eastAsia="Arial" w:hAnsi="Arial"/>
          <w:b/>
          <w:bCs/>
          <w:color w:val="1A1A3E"/>
          <w:sz w:val="21"/>
          <w:szCs w:val="21"/>
        </w:rPr>
        <w:t xml:space="preserve">Total Active Competitors: </w:t>
      </w:r>
      <w:r>
        <w:rPr>
          <w:rFonts w:ascii="Arial" w:cs="Arial" w:eastAsia="Arial" w:hAnsi="Arial"/>
          <w:color w:val="374151"/>
          <w:sz w:val="21"/>
          <w:szCs w:val="21"/>
        </w:rPr>
        <w:t xml:space="preserve">1,015 players registered across ATP and WTA tours</w:t>
      </w:r>
    </w:p>
    <w:p>
      <w:pPr>
        <w:pStyle w:val="ListParagraph"/>
        <w:numPr>
          <w:ilvl w:val="0"/>
          <w:numId w:val="2"/>
        </w:numPr>
        <w:spacing w:after="40" w:before="40"/>
      </w:pPr>
      <w:r>
        <w:rPr>
          <w:rFonts w:ascii="Arial" w:cs="Arial" w:eastAsia="Arial" w:hAnsi="Arial"/>
          <w:b/>
          <w:bCs/>
          <w:color w:val="1A1A3E"/>
          <w:sz w:val="21"/>
          <w:szCs w:val="21"/>
        </w:rPr>
        <w:t xml:space="preserve">Total Competitions Tracked: </w:t>
      </w:r>
      <w:r>
        <w:rPr>
          <w:rFonts w:ascii="Arial" w:cs="Arial" w:eastAsia="Arial" w:hAnsi="Arial"/>
          <w:color w:val="374151"/>
          <w:sz w:val="21"/>
          <w:szCs w:val="21"/>
        </w:rPr>
        <w:t xml:space="preserve">6,587 events — averaging ~6.5 events per competitor</w:t>
      </w:r>
    </w:p>
    <w:p>
      <w:pPr>
        <w:pStyle w:val="ListParagraph"/>
        <w:numPr>
          <w:ilvl w:val="0"/>
          <w:numId w:val="2"/>
        </w:numPr>
        <w:spacing w:after="40" w:before="40"/>
      </w:pPr>
      <w:r>
        <w:rPr>
          <w:rFonts w:ascii="Arial" w:cs="Arial" w:eastAsia="Arial" w:hAnsi="Arial"/>
          <w:b/>
          <w:bCs/>
          <w:color w:val="1A1A3E"/>
          <w:sz w:val="21"/>
          <w:szCs w:val="21"/>
        </w:rPr>
        <w:t xml:space="preserve">Average Ranking Points: </w:t>
      </w:r>
      <w:r>
        <w:rPr>
          <w:rFonts w:ascii="Arial" w:cs="Arial" w:eastAsia="Arial" w:hAnsi="Arial"/>
          <w:color w:val="374151"/>
          <w:sz w:val="21"/>
          <w:szCs w:val="21"/>
        </w:rPr>
        <w:t xml:space="preserve">718 points per player (median likely much lower given concentration at the top)</w:t>
      </w:r>
    </w:p>
    <w:p>
      <w:pPr>
        <w:pStyle w:val="ListParagraph"/>
        <w:numPr>
          <w:ilvl w:val="0"/>
          <w:numId w:val="2"/>
        </w:numPr>
        <w:spacing w:after="40" w:before="40"/>
      </w:pPr>
      <w:r>
        <w:rPr>
          <w:rFonts w:ascii="Arial" w:cs="Arial" w:eastAsia="Arial" w:hAnsi="Arial"/>
          <w:b/>
          <w:bCs/>
          <w:color w:val="1A1A3E"/>
          <w:sz w:val="21"/>
          <w:szCs w:val="21"/>
        </w:rPr>
        <w:t xml:space="preserve">Geographic Spread: </w:t>
      </w:r>
      <w:r>
        <w:rPr>
          <w:rFonts w:ascii="Arial" w:cs="Arial" w:eastAsia="Arial" w:hAnsi="Arial"/>
          <w:color w:val="374151"/>
          <w:sz w:val="21"/>
          <w:szCs w:val="21"/>
        </w:rPr>
        <w:t xml:space="preserve">74 countries represented, confirming a truly global competitive pool</w:t>
      </w:r>
    </w:p>
    <w:p>
      <w:pPr>
        <w:spacing w:after="0" w:before="60"/>
      </w:pPr>
      <w:r>
        <w:t xml:space="preserve"/>
      </w:r>
    </w:p>
    <w:p>
      <w:pPr>
        <w:pStyle w:val="Heading2"/>
        <w:spacing w:after="80" w:before="240"/>
      </w:pPr>
      <w:r>
        <w:rPr>
          <w:rFonts w:ascii="Arial" w:cs="Arial" w:eastAsia="Arial" w:hAnsi="Arial"/>
          <w:b/>
          <w:bCs/>
          <w:color w:val="5B21B6"/>
          <w:sz w:val="24"/>
          <w:szCs w:val="24"/>
        </w:rPr>
        <w:t xml:space="preserve">2.2  Top Player Performance</w:t>
      </w:r>
    </w:p>
    <w:p>
      <w:pPr>
        <w:spacing w:after="100" w:before="60"/>
      </w:pPr>
      <w:r>
        <w:rPr>
          <w:rFonts w:ascii="Arial" w:cs="Arial" w:eastAsia="Arial" w:hAnsi="Arial"/>
          <w:color w:val="374151"/>
          <w:sz w:val="21"/>
          <w:szCs w:val="21"/>
        </w:rPr>
        <w:t xml:space="preserve">From the Dashboard Overview — Top 10 Standings:</w:t>
      </w:r>
    </w:p>
    <w:p>
      <w:pPr>
        <w:pStyle w:val="ListParagraph"/>
        <w:numPr>
          <w:ilvl w:val="0"/>
          <w:numId w:val="2"/>
        </w:numPr>
        <w:spacing w:after="40" w:before="40"/>
      </w:pPr>
      <w:r>
        <w:rPr>
          <w:rFonts w:ascii="Arial" w:cs="Arial" w:eastAsia="Arial" w:hAnsi="Arial"/>
          <w:b/>
          <w:bCs/>
          <w:color w:val="1A1A3E"/>
          <w:sz w:val="21"/>
          <w:szCs w:val="21"/>
        </w:rPr>
        <w:t xml:space="preserve">Rank #1 (WTA): </w:t>
      </w:r>
      <w:r>
        <w:rPr>
          <w:rFonts w:ascii="Arial" w:cs="Arial" w:eastAsia="Arial" w:hAnsi="Arial"/>
          <w:color w:val="374151"/>
          <w:sz w:val="21"/>
          <w:szCs w:val="21"/>
        </w:rPr>
        <w:t xml:space="preserve">Katerina Siniakova (Czechia) — 10,500 points, 15 events</w:t>
      </w:r>
    </w:p>
    <w:p>
      <w:pPr>
        <w:pStyle w:val="ListParagraph"/>
        <w:numPr>
          <w:ilvl w:val="0"/>
          <w:numId w:val="2"/>
        </w:numPr>
        <w:spacing w:after="40" w:before="40"/>
      </w:pPr>
      <w:r>
        <w:rPr>
          <w:rFonts w:ascii="Arial" w:cs="Arial" w:eastAsia="Arial" w:hAnsi="Arial"/>
          <w:b/>
          <w:bCs/>
          <w:color w:val="1A1A3E"/>
          <w:sz w:val="21"/>
          <w:szCs w:val="21"/>
        </w:rPr>
        <w:t xml:space="preserve">Rank #2 (WTA): </w:t>
      </w:r>
      <w:r>
        <w:rPr>
          <w:rFonts w:ascii="Arial" w:cs="Arial" w:eastAsia="Arial" w:hAnsi="Arial"/>
          <w:color w:val="374151"/>
          <w:sz w:val="21"/>
          <w:szCs w:val="21"/>
        </w:rPr>
        <w:t xml:space="preserve">Taylor Townsend (USA) — 9,900 points, 15 events</w:t>
      </w:r>
    </w:p>
    <w:p>
      <w:pPr>
        <w:pStyle w:val="ListParagraph"/>
        <w:numPr>
          <w:ilvl w:val="0"/>
          <w:numId w:val="2"/>
        </w:numPr>
        <w:spacing w:after="40" w:before="40"/>
      </w:pPr>
      <w:r>
        <w:rPr>
          <w:rFonts w:ascii="Arial" w:cs="Arial" w:eastAsia="Arial" w:hAnsi="Arial"/>
          <w:b/>
          <w:bCs/>
          <w:color w:val="1A1A3E"/>
          <w:sz w:val="21"/>
          <w:szCs w:val="21"/>
        </w:rPr>
        <w:t xml:space="preserve">Rank #1 (ATP, tied): </w:t>
      </w:r>
      <w:r>
        <w:rPr>
          <w:rFonts w:ascii="Arial" w:cs="Arial" w:eastAsia="Arial" w:hAnsi="Arial"/>
          <w:color w:val="374151"/>
          <w:sz w:val="21"/>
          <w:szCs w:val="21"/>
        </w:rPr>
        <w:t xml:space="preserve">Harri Heliovaara (Finland) — 8,320 points, 21 events</w:t>
      </w:r>
    </w:p>
    <w:p>
      <w:pPr>
        <w:pStyle w:val="ListParagraph"/>
        <w:numPr>
          <w:ilvl w:val="0"/>
          <w:numId w:val="2"/>
        </w:numPr>
        <w:spacing w:after="40" w:before="40"/>
      </w:pPr>
      <w:r>
        <w:rPr>
          <w:rFonts w:ascii="Arial" w:cs="Arial" w:eastAsia="Arial" w:hAnsi="Arial"/>
          <w:b/>
          <w:bCs/>
          <w:color w:val="1A1A3E"/>
          <w:sz w:val="21"/>
          <w:szCs w:val="21"/>
        </w:rPr>
        <w:t xml:space="preserve">Rank #1 (ATP, tied): </w:t>
      </w:r>
      <w:r>
        <w:rPr>
          <w:rFonts w:ascii="Arial" w:cs="Arial" w:eastAsia="Arial" w:hAnsi="Arial"/>
          <w:color w:val="374151"/>
          <w:sz w:val="21"/>
          <w:szCs w:val="21"/>
        </w:rPr>
        <w:t xml:space="preserve">Henry Patten (Great Britain) — 8,320 points, 21 events</w:t>
      </w:r>
    </w:p>
    <w:p>
      <w:pPr>
        <w:pStyle w:val="ListParagraph"/>
        <w:numPr>
          <w:ilvl w:val="0"/>
          <w:numId w:val="2"/>
        </w:numPr>
        <w:spacing w:after="40" w:before="40"/>
      </w:pPr>
      <w:r>
        <w:rPr>
          <w:rFonts w:ascii="Arial" w:cs="Arial" w:eastAsia="Arial" w:hAnsi="Arial"/>
          <w:b/>
          <w:bCs/>
          <w:color w:val="1A1A3E"/>
          <w:sz w:val="21"/>
          <w:szCs w:val="21"/>
        </w:rPr>
        <w:t xml:space="preserve">Notable: </w:t>
      </w:r>
      <w:r>
        <w:rPr>
          <w:rFonts w:ascii="Arial" w:cs="Arial" w:eastAsia="Arial" w:hAnsi="Arial"/>
          <w:color w:val="374151"/>
          <w:sz w:val="21"/>
          <w:szCs w:val="21"/>
        </w:rPr>
        <w:t xml:space="preserve">Horacio Zeballos (Argentina, ATP #3) at 8,030 points across only 14 events — highest points-per-event ratio among top ATP players</w:t>
      </w:r>
    </w:p>
    <w:p>
      <w:pPr>
        <w:spacing w:after="0" w:before="60"/>
      </w:pPr>
      <w:r>
        <w:t xml:space="preserve"/>
      </w:r>
    </w:p>
    <w:p>
      <w:pPr>
        <w:pStyle w:val="Heading2"/>
        <w:spacing w:after="80" w:before="240"/>
      </w:pPr>
      <w:r>
        <w:rPr>
          <w:rFonts w:ascii="Arial" w:cs="Arial" w:eastAsia="Arial" w:hAnsi="Arial"/>
          <w:b/>
          <w:bCs/>
          <w:color w:val="5B21B6"/>
          <w:sz w:val="24"/>
          <w:szCs w:val="24"/>
        </w:rPr>
        <w:t xml:space="preserve">2.3  Regional Player Volume — Top Regions</w:t>
      </w:r>
    </w:p>
    <w:p>
      <w:pPr>
        <w:pStyle w:val="ListParagraph"/>
        <w:numPr>
          <w:ilvl w:val="0"/>
          <w:numId w:val="2"/>
        </w:numPr>
        <w:spacing w:after="40" w:before="40"/>
      </w:pPr>
      <w:r>
        <w:rPr>
          <w:rFonts w:ascii="Arial" w:cs="Arial" w:eastAsia="Arial" w:hAnsi="Arial"/>
          <w:b/>
          <w:bCs/>
          <w:color w:val="1A1A3E"/>
          <w:sz w:val="21"/>
          <w:szCs w:val="21"/>
        </w:rPr>
        <w:t xml:space="preserve">1st: </w:t>
      </w:r>
      <w:r>
        <w:rPr>
          <w:rFonts w:ascii="Arial" w:cs="Arial" w:eastAsia="Arial" w:hAnsi="Arial"/>
          <w:color w:val="374151"/>
          <w:sz w:val="21"/>
          <w:szCs w:val="21"/>
        </w:rPr>
        <w:t xml:space="preserve">USA — 100+ competitors (dominant by volume)</w:t>
      </w:r>
    </w:p>
    <w:p>
      <w:pPr>
        <w:pStyle w:val="ListParagraph"/>
        <w:numPr>
          <w:ilvl w:val="0"/>
          <w:numId w:val="2"/>
        </w:numPr>
        <w:spacing w:after="40" w:before="40"/>
      </w:pPr>
      <w:r>
        <w:rPr>
          <w:rFonts w:ascii="Arial" w:cs="Arial" w:eastAsia="Arial" w:hAnsi="Arial"/>
          <w:b/>
          <w:bCs/>
          <w:color w:val="1A1A3E"/>
          <w:sz w:val="21"/>
          <w:szCs w:val="21"/>
        </w:rPr>
        <w:t xml:space="preserve">2nd: </w:t>
      </w:r>
      <w:r>
        <w:rPr>
          <w:rFonts w:ascii="Arial" w:cs="Arial" w:eastAsia="Arial" w:hAnsi="Arial"/>
          <w:color w:val="374151"/>
          <w:sz w:val="21"/>
          <w:szCs w:val="21"/>
        </w:rPr>
        <w:t xml:space="preserve">Great Britain — ~60 competitors</w:t>
      </w:r>
    </w:p>
    <w:p>
      <w:pPr>
        <w:pStyle w:val="ListParagraph"/>
        <w:numPr>
          <w:ilvl w:val="0"/>
          <w:numId w:val="2"/>
        </w:numPr>
        <w:spacing w:after="40" w:before="40"/>
      </w:pPr>
      <w:r>
        <w:rPr>
          <w:rFonts w:ascii="Arial" w:cs="Arial" w:eastAsia="Arial" w:hAnsi="Arial"/>
          <w:b/>
          <w:bCs/>
          <w:color w:val="1A1A3E"/>
          <w:sz w:val="21"/>
          <w:szCs w:val="21"/>
        </w:rPr>
        <w:t xml:space="preserve">3rd: </w:t>
      </w:r>
      <w:r>
        <w:rPr>
          <w:rFonts w:ascii="Arial" w:cs="Arial" w:eastAsia="Arial" w:hAnsi="Arial"/>
          <w:color w:val="374151"/>
          <w:sz w:val="21"/>
          <w:szCs w:val="21"/>
        </w:rPr>
        <w:t xml:space="preserve">France — ~55 competitors</w:t>
      </w:r>
    </w:p>
    <w:p>
      <w:pPr>
        <w:pStyle w:val="ListParagraph"/>
        <w:numPr>
          <w:ilvl w:val="0"/>
          <w:numId w:val="2"/>
        </w:numPr>
        <w:spacing w:after="40" w:before="40"/>
      </w:pPr>
      <w:r>
        <w:rPr>
          <w:rFonts w:ascii="Arial" w:cs="Arial" w:eastAsia="Arial" w:hAnsi="Arial"/>
          <w:b/>
          <w:bCs/>
          <w:color w:val="1A1A3E"/>
          <w:sz w:val="21"/>
          <w:szCs w:val="21"/>
        </w:rPr>
        <w:t xml:space="preserve">4th: </w:t>
      </w:r>
      <w:r>
        <w:rPr>
          <w:rFonts w:ascii="Arial" w:cs="Arial" w:eastAsia="Arial" w:hAnsi="Arial"/>
          <w:color w:val="374151"/>
          <w:sz w:val="21"/>
          <w:szCs w:val="21"/>
        </w:rPr>
        <w:t xml:space="preserve">Neutral (stateless/unaffiliated) — ~50 competitors</w:t>
      </w:r>
    </w:p>
    <w:p>
      <w:pPr>
        <w:pStyle w:val="ListParagraph"/>
        <w:numPr>
          <w:ilvl w:val="0"/>
          <w:numId w:val="2"/>
        </w:numPr>
        <w:spacing w:after="40" w:before="40"/>
      </w:pPr>
      <w:r>
        <w:rPr>
          <w:rFonts w:ascii="Arial" w:cs="Arial" w:eastAsia="Arial" w:hAnsi="Arial"/>
          <w:b/>
          <w:bCs/>
          <w:color w:val="1A1A3E"/>
          <w:sz w:val="21"/>
          <w:szCs w:val="21"/>
        </w:rPr>
        <w:t xml:space="preserve">5th–10th: </w:t>
      </w:r>
      <w:r>
        <w:rPr>
          <w:rFonts w:ascii="Arial" w:cs="Arial" w:eastAsia="Arial" w:hAnsi="Arial"/>
          <w:color w:val="374151"/>
          <w:sz w:val="21"/>
          <w:szCs w:val="21"/>
        </w:rPr>
        <w:t xml:space="preserve">Japan, Australia, Italy, Czechia, Argentina, Germany</w:t>
      </w:r>
    </w:p>
    <w:p>
      <w:pPr>
        <w:spacing w:after="100" w:before="60"/>
      </w:pPr>
      <w:r>
        <w:rPr>
          <w:rFonts w:ascii="Arial" w:cs="Arial" w:eastAsia="Arial" w:hAnsi="Arial"/>
          <w:color w:val="374151"/>
          <w:sz w:val="21"/>
          <w:szCs w:val="21"/>
        </w:rPr>
        <w:t xml:space="preserve">The USA's volume lead is substantial — roughly 1.7x the next closest country (Great Britain). However, Czechia's relatively small player count contrasts sharply with its rankings dominance (Siniakova at WTA #1, country avg rank of 183 overall but top player at #1), demonstrating elite-tier efficiency.</w:t>
      </w:r>
    </w:p>
    <w:p>
      <w:pPr>
        <w:spacing w:after="0" w:before="60"/>
      </w:pPr>
      <w:r>
        <w:t xml:space="preserve"/>
      </w:r>
    </w:p>
    <w:p>
      <w:pPr>
        <w:pStyle w:val="Heading2"/>
        <w:spacing w:after="80" w:before="240"/>
      </w:pPr>
      <w:r>
        <w:rPr>
          <w:rFonts w:ascii="Arial" w:cs="Arial" w:eastAsia="Arial" w:hAnsi="Arial"/>
          <w:b/>
          <w:bCs/>
          <w:color w:val="5B21B6"/>
          <w:sz w:val="24"/>
          <w:szCs w:val="24"/>
        </w:rPr>
        <w:t xml:space="preserve">2.4  Country-Wise Standings (Global Country Standings)</w:t>
      </w:r>
    </w:p>
    <w:p>
      <w:pPr>
        <w:spacing w:after="100" w:before="60"/>
      </w:pPr>
      <w:r>
        <w:rPr>
          <w:rFonts w:ascii="Arial" w:cs="Arial" w:eastAsia="Arial" w:hAnsi="Arial"/>
          <w:color w:val="374151"/>
          <w:sz w:val="21"/>
          <w:szCs w:val="21"/>
        </w:rPr>
        <w:t xml:space="preserve">The Global Country Standings table reveals performance by gender and tour:</w:t>
      </w:r>
    </w:p>
    <w:p>
      <w:pPr>
        <w:pStyle w:val="ListParagraph"/>
        <w:numPr>
          <w:ilvl w:val="0"/>
          <w:numId w:val="2"/>
        </w:numPr>
        <w:spacing w:after="40" w:before="40"/>
      </w:pPr>
      <w:r>
        <w:rPr>
          <w:rFonts w:ascii="Arial" w:cs="Arial" w:eastAsia="Arial" w:hAnsi="Arial"/>
          <w:b/>
          <w:bCs/>
          <w:color w:val="1A1A3E"/>
          <w:sz w:val="21"/>
          <w:szCs w:val="21"/>
        </w:rPr>
        <w:t xml:space="preserve">France (Men, ATP): </w:t>
      </w:r>
      <w:r>
        <w:rPr>
          <w:rFonts w:ascii="Arial" w:cs="Arial" w:eastAsia="Arial" w:hAnsi="Arial"/>
          <w:color w:val="374151"/>
          <w:sz w:val="21"/>
          <w:szCs w:val="21"/>
        </w:rPr>
        <w:t xml:space="preserve">53 players | Avg Rank 268 | Total Points 36,474 | Top Player: Manuel Guinard (#17)</w:t>
      </w:r>
    </w:p>
    <w:p>
      <w:pPr>
        <w:pStyle w:val="ListParagraph"/>
        <w:numPr>
          <w:ilvl w:val="0"/>
          <w:numId w:val="2"/>
        </w:numPr>
        <w:spacing w:after="40" w:before="40"/>
      </w:pPr>
      <w:r>
        <w:rPr>
          <w:rFonts w:ascii="Arial" w:cs="Arial" w:eastAsia="Arial" w:hAnsi="Arial"/>
          <w:b/>
          <w:bCs/>
          <w:color w:val="1A1A3E"/>
          <w:sz w:val="21"/>
          <w:szCs w:val="21"/>
        </w:rPr>
        <w:t xml:space="preserve">Neutral (Women, WTA): </w:t>
      </w:r>
      <w:r>
        <w:rPr>
          <w:rFonts w:ascii="Arial" w:cs="Arial" w:eastAsia="Arial" w:hAnsi="Arial"/>
          <w:color w:val="374151"/>
          <w:sz w:val="21"/>
          <w:szCs w:val="21"/>
        </w:rPr>
        <w:t xml:space="preserve">51 players | Avg Rank 251 | Total Points 38,002 | Top Player: Veronika Kudermetova (#14)</w:t>
      </w:r>
    </w:p>
    <w:p>
      <w:pPr>
        <w:pStyle w:val="ListParagraph"/>
        <w:numPr>
          <w:ilvl w:val="0"/>
          <w:numId w:val="2"/>
        </w:numPr>
        <w:spacing w:after="40" w:before="40"/>
      </w:pPr>
      <w:r>
        <w:rPr>
          <w:rFonts w:ascii="Arial" w:cs="Arial" w:eastAsia="Arial" w:hAnsi="Arial"/>
          <w:b/>
          <w:bCs/>
          <w:color w:val="1A1A3E"/>
          <w:sz w:val="21"/>
          <w:szCs w:val="21"/>
        </w:rPr>
        <w:t xml:space="preserve">Japan (Women, WTA): </w:t>
      </w:r>
      <w:r>
        <w:rPr>
          <w:rFonts w:ascii="Arial" w:cs="Arial" w:eastAsia="Arial" w:hAnsi="Arial"/>
          <w:color w:val="374151"/>
          <w:sz w:val="21"/>
          <w:szCs w:val="21"/>
        </w:rPr>
        <w:t xml:space="preserve">48 players | Avg Rank 276 | Total Points 21,639 | Top Player: Shuko Aoyama (#28)</w:t>
      </w:r>
    </w:p>
    <w:p>
      <w:pPr>
        <w:pStyle w:val="ListParagraph"/>
        <w:numPr>
          <w:ilvl w:val="0"/>
          <w:numId w:val="2"/>
        </w:numPr>
        <w:spacing w:after="40" w:before="40"/>
      </w:pPr>
      <w:r>
        <w:rPr>
          <w:rFonts w:ascii="Arial" w:cs="Arial" w:eastAsia="Arial" w:hAnsi="Arial"/>
          <w:b/>
          <w:bCs/>
          <w:color w:val="1A1A3E"/>
          <w:sz w:val="21"/>
          <w:szCs w:val="21"/>
        </w:rPr>
        <w:t xml:space="preserve">Czechia (Women, WTA): </w:t>
      </w:r>
      <w:r>
        <w:rPr>
          <w:rFonts w:ascii="Arial" w:cs="Arial" w:eastAsia="Arial" w:hAnsi="Arial"/>
          <w:color w:val="374151"/>
          <w:sz w:val="21"/>
          <w:szCs w:val="21"/>
        </w:rPr>
        <w:t xml:space="preserve">42 players | Avg Rank 183 | Total Points 40,206 | Top Player: Katerina Siniakova (#1)</w:t>
      </w:r>
    </w:p>
    <w:p>
      <w:pPr>
        <w:pStyle w:val="ListParagraph"/>
        <w:numPr>
          <w:ilvl w:val="0"/>
          <w:numId w:val="2"/>
        </w:numPr>
        <w:spacing w:after="40" w:before="40"/>
      </w:pPr>
      <w:r>
        <w:rPr>
          <w:rFonts w:ascii="Arial" w:cs="Arial" w:eastAsia="Arial" w:hAnsi="Arial"/>
          <w:b/>
          <w:bCs/>
          <w:color w:val="1A1A3E"/>
          <w:sz w:val="21"/>
          <w:szCs w:val="21"/>
        </w:rPr>
        <w:t xml:space="preserve">Italy (Men, ATP): </w:t>
      </w:r>
      <w:r>
        <w:rPr>
          <w:rFonts w:ascii="Arial" w:cs="Arial" w:eastAsia="Arial" w:hAnsi="Arial"/>
          <w:color w:val="374151"/>
          <w:sz w:val="21"/>
          <w:szCs w:val="21"/>
        </w:rPr>
        <w:t xml:space="preserve">42 players | Avg Rank 295 | Total Points 29,903 | Top Player: Andrea Vavassori (#8)</w:t>
      </w:r>
    </w:p>
    <w:p>
      <w:pPr>
        <w:spacing w:after="0" w:before="60"/>
      </w:pPr>
      <w:r>
        <w:t xml:space="preserve"/>
      </w:r>
    </w:p>
    <w:p>
      <w:pPr>
        <w:pStyle w:val="Heading2"/>
        <w:spacing w:after="80" w:before="240"/>
      </w:pPr>
      <w:r>
        <w:rPr>
          <w:rFonts w:ascii="Arial" w:cs="Arial" w:eastAsia="Arial" w:hAnsi="Arial"/>
          <w:b/>
          <w:bCs/>
          <w:color w:val="5B21B6"/>
          <w:sz w:val="24"/>
          <w:szCs w:val="24"/>
        </w:rPr>
        <w:t xml:space="preserve">2.5  ATP vs WTA Points Distribution</w:t>
      </w:r>
    </w:p>
    <w:p>
      <w:pPr>
        <w:spacing w:after="100" w:before="60"/>
      </w:pPr>
      <w:r>
        <w:rPr>
          <w:rFonts w:ascii="Arial" w:cs="Arial" w:eastAsia="Arial" w:hAnsi="Arial"/>
          <w:color w:val="374151"/>
          <w:sz w:val="21"/>
          <w:szCs w:val="21"/>
        </w:rPr>
        <w:t xml:space="preserve">The box plot comparison reveals a critical structural insight:</w:t>
      </w:r>
    </w:p>
    <w:p>
      <w:pPr>
        <w:pStyle w:val="ListParagraph"/>
        <w:numPr>
          <w:ilvl w:val="0"/>
          <w:numId w:val="2"/>
        </w:numPr>
        <w:spacing w:after="40" w:before="40"/>
      </w:pPr>
      <w:r>
        <w:rPr>
          <w:rFonts w:ascii="Arial" w:cs="Arial" w:eastAsia="Arial" w:hAnsi="Arial"/>
          <w:b/>
          <w:bCs/>
          <w:color w:val="1A1A3E"/>
          <w:sz w:val="21"/>
          <w:szCs w:val="21"/>
        </w:rPr>
        <w:t xml:space="preserve">WTA: </w:t>
      </w:r>
      <w:r>
        <w:rPr>
          <w:rFonts w:ascii="Arial" w:cs="Arial" w:eastAsia="Arial" w:hAnsi="Arial"/>
          <w:color w:val="374151"/>
          <w:sz w:val="21"/>
          <w:szCs w:val="21"/>
        </w:rPr>
        <w:t xml:space="preserve">Shows a tighter interquartile range but a higher maximum ceiling (~10k+ points), indicating WTA's top players command a disproportionately large share of available points</w:t>
      </w:r>
    </w:p>
    <w:p>
      <w:pPr>
        <w:pStyle w:val="ListParagraph"/>
        <w:numPr>
          <w:ilvl w:val="0"/>
          <w:numId w:val="2"/>
        </w:numPr>
        <w:spacing w:after="40" w:before="40"/>
      </w:pPr>
      <w:r>
        <w:rPr>
          <w:rFonts w:ascii="Arial" w:cs="Arial" w:eastAsia="Arial" w:hAnsi="Arial"/>
          <w:b/>
          <w:bCs/>
          <w:color w:val="1A1A3E"/>
          <w:sz w:val="21"/>
          <w:szCs w:val="21"/>
        </w:rPr>
        <w:t xml:space="preserve">ATP: </w:t>
      </w:r>
      <w:r>
        <w:rPr>
          <w:rFonts w:ascii="Arial" w:cs="Arial" w:eastAsia="Arial" w:hAnsi="Arial"/>
          <w:color w:val="374151"/>
          <w:sz w:val="21"/>
          <w:szCs w:val="21"/>
        </w:rPr>
        <w:t xml:space="preserve">Displays a slightly wider distribution with multiple outlier dots above 5k, suggesting greater mid-tier competitive depth</w:t>
      </w:r>
    </w:p>
    <w:p>
      <w:pPr>
        <w:pStyle w:val="ListParagraph"/>
        <w:numPr>
          <w:ilvl w:val="0"/>
          <w:numId w:val="2"/>
        </w:numPr>
        <w:spacing w:after="40" w:before="40"/>
      </w:pPr>
      <w:r>
        <w:rPr>
          <w:rFonts w:ascii="Arial" w:cs="Arial" w:eastAsia="Arial" w:hAnsi="Arial"/>
          <w:b/>
          <w:bCs/>
          <w:color w:val="1A1A3E"/>
          <w:sz w:val="21"/>
          <w:szCs w:val="21"/>
        </w:rPr>
        <w:t xml:space="preserve">Rank vs Points Scatter (Top 50): </w:t>
      </w:r>
      <w:r>
        <w:rPr>
          <w:rFonts w:ascii="Arial" w:cs="Arial" w:eastAsia="Arial" w:hAnsi="Arial"/>
          <w:color w:val="374151"/>
          <w:sz w:val="21"/>
          <w:szCs w:val="21"/>
        </w:rPr>
        <w:t xml:space="preserve">Points decline steeply after the top 10–15 players, confirming an elite concentration effect in both tours</w:t>
      </w:r>
    </w:p>
    <w:p>
      <w:pPr>
        <w:spacing w:after="0" w:before="60"/>
      </w:pPr>
      <w:r>
        <w:t xml:space="preserve"/>
      </w:r>
    </w:p>
    <w:p>
      <w:pPr>
        <w:pStyle w:val="Heading2"/>
        <w:spacing w:after="80" w:before="240"/>
      </w:pPr>
      <w:r>
        <w:rPr>
          <w:rFonts w:ascii="Arial" w:cs="Arial" w:eastAsia="Arial" w:hAnsi="Arial"/>
          <w:b/>
          <w:bCs/>
          <w:color w:val="5B21B6"/>
          <w:sz w:val="24"/>
          <w:szCs w:val="24"/>
        </w:rPr>
        <w:t xml:space="preserve">2.6  Leaderboard Intelligence</w:t>
      </w:r>
    </w:p>
    <w:p>
      <w:pPr>
        <w:spacing w:after="100" w:before="60"/>
      </w:pPr>
      <w:r>
        <w:rPr>
          <w:rFonts w:ascii="Arial" w:cs="Arial" w:eastAsia="Arial" w:hAnsi="Arial"/>
          <w:color w:val="374151"/>
          <w:sz w:val="21"/>
          <w:szCs w:val="21"/>
        </w:rPr>
        <w:t xml:space="preserve">ATP Tour Top 3 — Men's Singles:</w:t>
      </w:r>
    </w:p>
    <w:p>
      <w:pPr>
        <w:pStyle w:val="ListParagraph"/>
        <w:numPr>
          <w:ilvl w:val="0"/>
          <w:numId w:val="2"/>
        </w:numPr>
        <w:spacing w:after="40" w:before="40"/>
      </w:pPr>
      <w:r>
        <w:rPr>
          <w:rFonts w:ascii="Arial" w:cs="Arial" w:eastAsia="Arial" w:hAnsi="Arial"/>
          <w:b/>
          <w:bCs/>
          <w:color w:val="1A1A3E"/>
          <w:sz w:val="21"/>
          <w:szCs w:val="21"/>
        </w:rPr>
        <w:t xml:space="preserve">#1: </w:t>
      </w:r>
      <w:r>
        <w:rPr>
          <w:rFonts w:ascii="Arial" w:cs="Arial" w:eastAsia="Arial" w:hAnsi="Arial"/>
          <w:color w:val="374151"/>
          <w:sz w:val="21"/>
          <w:szCs w:val="21"/>
        </w:rPr>
        <w:t xml:space="preserve">Harri Heliovaara (Finland) — 8,320 pts, Movement: +0</w:t>
      </w:r>
    </w:p>
    <w:p>
      <w:pPr>
        <w:pStyle w:val="ListParagraph"/>
        <w:numPr>
          <w:ilvl w:val="0"/>
          <w:numId w:val="2"/>
        </w:numPr>
        <w:spacing w:after="40" w:before="40"/>
      </w:pPr>
      <w:r>
        <w:rPr>
          <w:rFonts w:ascii="Arial" w:cs="Arial" w:eastAsia="Arial" w:hAnsi="Arial"/>
          <w:b/>
          <w:bCs/>
          <w:color w:val="1A1A3E"/>
          <w:sz w:val="21"/>
          <w:szCs w:val="21"/>
        </w:rPr>
        <w:t xml:space="preserve">#2: </w:t>
      </w:r>
      <w:r>
        <w:rPr>
          <w:rFonts w:ascii="Arial" w:cs="Arial" w:eastAsia="Arial" w:hAnsi="Arial"/>
          <w:color w:val="374151"/>
          <w:sz w:val="21"/>
          <w:szCs w:val="21"/>
        </w:rPr>
        <w:t xml:space="preserve">Henry Patten (Great Britain) — 8,320 pts, Movement: +0</w:t>
      </w:r>
    </w:p>
    <w:p>
      <w:pPr>
        <w:pStyle w:val="ListParagraph"/>
        <w:numPr>
          <w:ilvl w:val="0"/>
          <w:numId w:val="2"/>
        </w:numPr>
        <w:spacing w:after="40" w:before="40"/>
      </w:pPr>
      <w:r>
        <w:rPr>
          <w:rFonts w:ascii="Arial" w:cs="Arial" w:eastAsia="Arial" w:hAnsi="Arial"/>
          <w:b/>
          <w:bCs/>
          <w:color w:val="1A1A3E"/>
          <w:sz w:val="21"/>
          <w:szCs w:val="21"/>
        </w:rPr>
        <w:t xml:space="preserve">#3: </w:t>
      </w:r>
      <w:r>
        <w:rPr>
          <w:rFonts w:ascii="Arial" w:cs="Arial" w:eastAsia="Arial" w:hAnsi="Arial"/>
          <w:color w:val="374151"/>
          <w:sz w:val="21"/>
          <w:szCs w:val="21"/>
        </w:rPr>
        <w:t xml:space="preserve">Horacio Zeballos (Argentina) — 8,030 pts, Movement: +0</w:t>
      </w:r>
    </w:p>
    <w:p>
      <w:pPr>
        <w:spacing w:after="100" w:before="60"/>
      </w:pPr>
      <w:r>
        <w:rPr>
          <w:rFonts w:ascii="Arial" w:cs="Arial" w:eastAsia="Arial" w:hAnsi="Arial"/>
          <w:color w:val="374151"/>
          <w:sz w:val="21"/>
          <w:szCs w:val="21"/>
        </w:rPr>
        <w:t xml:space="preserve">Challenger Standings (next tier):</w:t>
      </w:r>
    </w:p>
    <w:p>
      <w:pPr>
        <w:pStyle w:val="ListParagraph"/>
        <w:numPr>
          <w:ilvl w:val="0"/>
          <w:numId w:val="2"/>
        </w:numPr>
        <w:spacing w:after="40" w:before="40"/>
      </w:pPr>
      <w:r>
        <w:rPr>
          <w:rFonts w:ascii="Arial" w:cs="Arial" w:eastAsia="Arial" w:hAnsi="Arial"/>
          <w:b/>
          <w:bCs/>
          <w:color w:val="1A1A3E"/>
          <w:sz w:val="21"/>
          <w:szCs w:val="21"/>
        </w:rPr>
        <w:t xml:space="preserve">#4: </w:t>
      </w:r>
      <w:r>
        <w:rPr>
          <w:rFonts w:ascii="Arial" w:cs="Arial" w:eastAsia="Arial" w:hAnsi="Arial"/>
          <w:color w:val="374151"/>
          <w:sz w:val="21"/>
          <w:szCs w:val="21"/>
        </w:rPr>
        <w:t xml:space="preserve">Marcel Granollers (Spain) — 7,940 pts</w:t>
      </w:r>
    </w:p>
    <w:p>
      <w:pPr>
        <w:pStyle w:val="ListParagraph"/>
        <w:numPr>
          <w:ilvl w:val="0"/>
          <w:numId w:val="2"/>
        </w:numPr>
        <w:spacing w:after="40" w:before="40"/>
      </w:pPr>
      <w:r>
        <w:rPr>
          <w:rFonts w:ascii="Arial" w:cs="Arial" w:eastAsia="Arial" w:hAnsi="Arial"/>
          <w:b/>
          <w:bCs/>
          <w:color w:val="1A1A3E"/>
          <w:sz w:val="21"/>
          <w:szCs w:val="21"/>
        </w:rPr>
        <w:t xml:space="preserve">#5: </w:t>
      </w:r>
      <w:r>
        <w:rPr>
          <w:rFonts w:ascii="Arial" w:cs="Arial" w:eastAsia="Arial" w:hAnsi="Arial"/>
          <w:color w:val="374151"/>
          <w:sz w:val="21"/>
          <w:szCs w:val="21"/>
        </w:rPr>
        <w:t xml:space="preserve">Neal Skupski (Great Britain) — 7,320 pts</w:t>
      </w:r>
    </w:p>
    <w:p>
      <w:pPr>
        <w:pStyle w:val="ListParagraph"/>
        <w:numPr>
          <w:ilvl w:val="0"/>
          <w:numId w:val="2"/>
        </w:numPr>
        <w:spacing w:after="40" w:before="40"/>
      </w:pPr>
      <w:r>
        <w:rPr>
          <w:rFonts w:ascii="Arial" w:cs="Arial" w:eastAsia="Arial" w:hAnsi="Arial"/>
          <w:b/>
          <w:bCs/>
          <w:color w:val="1A1A3E"/>
          <w:sz w:val="21"/>
          <w:szCs w:val="21"/>
        </w:rPr>
        <w:t xml:space="preserve">#6 (tied): </w:t>
      </w:r>
      <w:r>
        <w:rPr>
          <w:rFonts w:ascii="Arial" w:cs="Arial" w:eastAsia="Arial" w:hAnsi="Arial"/>
          <w:color w:val="374151"/>
          <w:sz w:val="21"/>
          <w:szCs w:val="21"/>
        </w:rPr>
        <w:t xml:space="preserve">Julian Cash &amp; Lloyd Glasspool (Great Britain) — 6,540 pts each</w:t>
      </w:r>
    </w:p>
    <w:p>
      <w:pPr>
        <w:spacing w:after="100" w:before="60"/>
      </w:pPr>
      <w:r>
        <w:rPr>
          <w:rFonts w:ascii="Arial" w:cs="Arial" w:eastAsia="Arial" w:hAnsi="Arial"/>
          <w:color w:val="374151"/>
          <w:sz w:val="21"/>
          <w:szCs w:val="21"/>
        </w:rPr>
        <w:t xml:space="preserve">Great Britain's dominance in both the #2 ATP slot and three of the top 6 Challenger positions is a notable concentration of talent from a single nation.</w:t>
      </w:r>
    </w:p>
    <w:p>
      <w:pPr>
        <w:spacing w:after="0" w:before="100"/>
      </w:pPr>
      <w:r>
        <w:t xml:space="preserve"/>
      </w:r>
    </w:p>
    <w:p>
      <w:pPr>
        <w:pStyle w:val="Heading1"/>
        <w:spacing w:after="120" w:before="360"/>
      </w:pPr>
      <w:r>
        <w:rPr>
          <w:rFonts w:ascii="Arial" w:cs="Arial" w:eastAsia="Arial" w:hAnsi="Arial"/>
          <w:b/>
          <w:bCs/>
          <w:color w:val="1A1A3E"/>
          <w:sz w:val="30"/>
          <w:szCs w:val="30"/>
        </w:rPr>
        <w:t xml:space="preserve">3. Trend Analysis &amp; Anomalies</w:t>
      </w:r>
    </w:p>
    <w:p>
      <w:pPr>
        <w:pBdr>
          <w:bottom w:val="single" w:color="E5E7EB" w:sz="4" w:space="1"/>
        </w:pBdr>
        <w:spacing w:after="80" w:before="80"/>
      </w:pPr>
      <w:r>
        <w:t xml:space="preserve"/>
      </w:r>
    </w:p>
    <w:p>
      <w:pPr>
        <w:spacing w:after="0" w:before="60"/>
      </w:pPr>
      <w:r>
        <w:t xml:space="preserve"/>
      </w:r>
    </w:p>
    <w:p>
      <w:pPr>
        <w:pStyle w:val="Heading2"/>
        <w:spacing w:after="80" w:before="240"/>
      </w:pPr>
      <w:r>
        <w:rPr>
          <w:rFonts w:ascii="Arial" w:cs="Arial" w:eastAsia="Arial" w:hAnsi="Arial"/>
          <w:b/>
          <w:bCs/>
          <w:color w:val="5B21B6"/>
          <w:sz w:val="24"/>
          <w:szCs w:val="24"/>
        </w:rPr>
        <w:t xml:space="preserve">3.1  Elite Point Concentration</w:t>
      </w:r>
    </w:p>
    <w:p>
      <w:pPr>
        <w:spacing w:after="100" w:before="60"/>
      </w:pPr>
      <w:r>
        <w:rPr>
          <w:rFonts w:ascii="Arial" w:cs="Arial" w:eastAsia="Arial" w:hAnsi="Arial"/>
          <w:color w:val="374151"/>
          <w:sz w:val="21"/>
          <w:szCs w:val="21"/>
        </w:rPr>
        <w:t xml:space="preserve">Both tours display steep points curves. The top 5 players in each tour account for a vastly disproportionate share of total points vs. the average (718). The median player sits far below the mean, suggesting a long tail of low-ranking players dragging the average down. This is a classic power-law distribution common in elite sports ecosystems.</w:t>
      </w:r>
    </w:p>
    <w:p>
      <w:pPr>
        <w:spacing w:after="0" w:before="60"/>
      </w:pPr>
      <w:r>
        <w:t xml:space="preserve"/>
      </w:r>
    </w:p>
    <w:p>
      <w:pPr>
        <w:pStyle w:val="Heading2"/>
        <w:spacing w:after="80" w:before="240"/>
      </w:pPr>
      <w:r>
        <w:rPr>
          <w:rFonts w:ascii="Arial" w:cs="Arial" w:eastAsia="Arial" w:hAnsi="Arial"/>
          <w:b/>
          <w:bCs/>
          <w:color w:val="5B21B6"/>
          <w:sz w:val="24"/>
          <w:szCs w:val="24"/>
        </w:rPr>
        <w:t xml:space="preserve">3.2  Rank Movement Stagnation Among Elites</w:t>
      </w:r>
    </w:p>
    <w:p>
      <w:pPr>
        <w:spacing w:after="100" w:before="60"/>
      </w:pPr>
      <w:r>
        <w:rPr>
          <w:rFonts w:ascii="Arial" w:cs="Arial" w:eastAsia="Arial" w:hAnsi="Arial"/>
          <w:color w:val="374151"/>
          <w:sz w:val="21"/>
          <w:szCs w:val="21"/>
        </w:rPr>
        <w:t xml:space="preserve">All top-3 ATP players show zero (0) rank movement, and most Challenger players also display 0 movement. This indicates either: (a) a snapshot taken immediately after a rankings reset or tournament conclusion, or (b) that the elite bracket has reached a stable equilibrium in the short term. No upward or downward trend is observable at the top, making the top-mover analysis all the more valuable for identifying disruption.</w:t>
      </w:r>
    </w:p>
    <w:p>
      <w:pPr>
        <w:spacing w:after="0" w:before="60"/>
      </w:pPr>
      <w:r>
        <w:t xml:space="preserve"/>
      </w:r>
    </w:p>
    <w:p>
      <w:pPr>
        <w:pStyle w:val="Heading2"/>
        <w:spacing w:after="80" w:before="240"/>
      </w:pPr>
      <w:r>
        <w:rPr>
          <w:rFonts w:ascii="Arial" w:cs="Arial" w:eastAsia="Arial" w:hAnsi="Arial"/>
          <w:b/>
          <w:bCs/>
          <w:color w:val="5B21B6"/>
          <w:sz w:val="24"/>
          <w:szCs w:val="24"/>
        </w:rPr>
        <w:t xml:space="preserve">3.3  Top Movers — Critical Outlier: Daniel Altmaier</w:t>
      </w:r>
    </w:p>
    <w:p>
      <w:pPr>
        <w:spacing w:after="40" w:before="40"/>
      </w:pPr>
      <w:r>
        <w:rPr>
          <w:rFonts w:ascii="Arial" w:cs="Arial" w:eastAsia="Arial" w:hAnsi="Arial"/>
          <w:b/>
          <w:bCs/>
          <w:color w:val="DC2626"/>
          <w:sz w:val="22"/>
          <w:szCs w:val="22"/>
        </w:rPr>
        <w:t xml:space="preserve">● ANOMALY FLAGGED</w:t>
      </w:r>
    </w:p>
    <w:p>
      <w:pPr>
        <w:spacing w:after="100" w:before="60"/>
      </w:pPr>
      <w:r>
        <w:rPr>
          <w:rFonts w:ascii="Arial" w:cs="Arial" w:eastAsia="Arial" w:hAnsi="Arial"/>
          <w:color w:val="374151"/>
          <w:sz w:val="21"/>
          <w:szCs w:val="21"/>
        </w:rPr>
        <w:t xml:space="preserve">Daniel Altmaier (Germany) shows a rank movement of approximately 680–700 positions — nearly 3x the next closest mover, Flavio Cobolli (Italy) at ~500. This is a significant outlier that warrants multi-dimensional investigation:</w:t>
      </w:r>
    </w:p>
    <w:p>
      <w:pPr>
        <w:pStyle w:val="ListParagraph"/>
        <w:numPr>
          <w:ilvl w:val="0"/>
          <w:numId w:val="2"/>
        </w:numPr>
        <w:spacing w:after="40" w:before="40"/>
      </w:pPr>
      <w:r>
        <w:rPr>
          <w:rFonts w:ascii="Arial" w:cs="Arial" w:eastAsia="Arial" w:hAnsi="Arial"/>
          <w:b/>
          <w:bCs/>
          <w:color w:val="1A1A3E"/>
          <w:sz w:val="21"/>
          <w:szCs w:val="21"/>
        </w:rPr>
        <w:t xml:space="preserve">Possibility A: </w:t>
      </w:r>
      <w:r>
        <w:rPr>
          <w:rFonts w:ascii="Arial" w:cs="Arial" w:eastAsia="Arial" w:hAnsi="Arial"/>
          <w:color w:val="374151"/>
          <w:sz w:val="21"/>
          <w:szCs w:val="21"/>
        </w:rPr>
        <w:t xml:space="preserve">Data ingestion error or ranking recalculation artifact</w:t>
      </w:r>
    </w:p>
    <w:p>
      <w:pPr>
        <w:pStyle w:val="ListParagraph"/>
        <w:numPr>
          <w:ilvl w:val="0"/>
          <w:numId w:val="2"/>
        </w:numPr>
        <w:spacing w:after="40" w:before="40"/>
      </w:pPr>
      <w:r>
        <w:rPr>
          <w:rFonts w:ascii="Arial" w:cs="Arial" w:eastAsia="Arial" w:hAnsi="Arial"/>
          <w:b/>
          <w:bCs/>
          <w:color w:val="1A1A3E"/>
          <w:sz w:val="21"/>
          <w:szCs w:val="21"/>
        </w:rPr>
        <w:t xml:space="preserve">Possibility B: </w:t>
      </w:r>
      <w:r>
        <w:rPr>
          <w:rFonts w:ascii="Arial" w:cs="Arial" w:eastAsia="Arial" w:hAnsi="Arial"/>
          <w:color w:val="374151"/>
          <w:sz w:val="21"/>
          <w:szCs w:val="21"/>
        </w:rPr>
        <w:t xml:space="preserve">Exceptional tournament run resulting in massive points accumulation within a single reporting period</w:t>
      </w:r>
    </w:p>
    <w:p>
      <w:pPr>
        <w:pStyle w:val="ListParagraph"/>
        <w:numPr>
          <w:ilvl w:val="0"/>
          <w:numId w:val="2"/>
        </w:numPr>
        <w:spacing w:after="40" w:before="40"/>
      </w:pPr>
      <w:r>
        <w:rPr>
          <w:rFonts w:ascii="Arial" w:cs="Arial" w:eastAsia="Arial" w:hAnsi="Arial"/>
          <w:b/>
          <w:bCs/>
          <w:color w:val="1A1A3E"/>
          <w:sz w:val="21"/>
          <w:szCs w:val="21"/>
        </w:rPr>
        <w:t xml:space="preserve">Possibility C: </w:t>
      </w:r>
      <w:r>
        <w:rPr>
          <w:rFonts w:ascii="Arial" w:cs="Arial" w:eastAsia="Arial" w:hAnsi="Arial"/>
          <w:color w:val="374151"/>
          <w:sz w:val="21"/>
          <w:szCs w:val="21"/>
        </w:rPr>
        <w:t xml:space="preserve">Return from injury/suspension causing a base-effect reclassification</w:t>
      </w:r>
    </w:p>
    <w:p>
      <w:pPr>
        <w:spacing w:after="100" w:before="60"/>
      </w:pPr>
      <w:r>
        <w:rPr>
          <w:rFonts w:ascii="Arial" w:cs="Arial" w:eastAsia="Arial" w:hAnsi="Arial"/>
          <w:color w:val="374151"/>
          <w:sz w:val="21"/>
          <w:szCs w:val="21"/>
        </w:rPr>
        <w:t xml:space="preserve">Given Altmaier's German nationality and the lower total points for Germany as a country in the standings, a large individual jump by a single player could represent meaningful upward momentum for the country's overall ranking position.</w:t>
      </w:r>
    </w:p>
    <w:p>
      <w:pPr>
        <w:spacing w:after="0" w:before="60"/>
      </w:pPr>
      <w:r>
        <w:t xml:space="preserve"/>
      </w:r>
    </w:p>
    <w:p>
      <w:pPr>
        <w:pStyle w:val="Heading2"/>
        <w:spacing w:after="80" w:before="240"/>
      </w:pPr>
      <w:r>
        <w:rPr>
          <w:rFonts w:ascii="Arial" w:cs="Arial" w:eastAsia="Arial" w:hAnsi="Arial"/>
          <w:b/>
          <w:bCs/>
          <w:color w:val="5B21B6"/>
          <w:sz w:val="24"/>
          <w:szCs w:val="24"/>
        </w:rPr>
        <w:t xml:space="preserve">3.4  Great Britain's Emerging ATP Dominance</w:t>
      </w:r>
    </w:p>
    <w:p>
      <w:pPr>
        <w:spacing w:after="40" w:before="40"/>
      </w:pPr>
      <w:r>
        <w:rPr>
          <w:rFonts w:ascii="Arial" w:cs="Arial" w:eastAsia="Arial" w:hAnsi="Arial"/>
          <w:b/>
          <w:bCs/>
          <w:color w:val="0D9488"/>
          <w:sz w:val="22"/>
          <w:szCs w:val="22"/>
        </w:rPr>
        <w:t xml:space="preserve">● EMERGING TREND</w:t>
      </w:r>
    </w:p>
    <w:p>
      <w:pPr>
        <w:spacing w:after="100" w:before="60"/>
      </w:pPr>
      <w:r>
        <w:rPr>
          <w:rFonts w:ascii="Arial" w:cs="Arial" w:eastAsia="Arial" w:hAnsi="Arial"/>
          <w:color w:val="374151"/>
          <w:sz w:val="21"/>
          <w:szCs w:val="21"/>
        </w:rPr>
        <w:t xml:space="preserve">Three players from Great Britain appear in the ATP top 6 Challenger bracket (Neal Skupski #5, Julian Cash #6, Lloyd Glasspool #6) alongside Henry Patten at #2. This clustering suggests a systematic pipeline of doubles specialists emerging from British tennis infrastructure — a strategic inflection point worth monitoring for sponsorship and federation investment narrative.</w:t>
      </w:r>
    </w:p>
    <w:p>
      <w:pPr>
        <w:spacing w:after="0" w:before="60"/>
      </w:pPr>
      <w:r>
        <w:t xml:space="preserve"/>
      </w:r>
    </w:p>
    <w:p>
      <w:pPr>
        <w:pStyle w:val="Heading2"/>
        <w:spacing w:after="80" w:before="240"/>
      </w:pPr>
      <w:r>
        <w:rPr>
          <w:rFonts w:ascii="Arial" w:cs="Arial" w:eastAsia="Arial" w:hAnsi="Arial"/>
          <w:b/>
          <w:bCs/>
          <w:color w:val="5B21B6"/>
          <w:sz w:val="24"/>
          <w:szCs w:val="24"/>
        </w:rPr>
        <w:t xml:space="preserve">3.5  Neutral / Stateless Competitor Category</w:t>
      </w:r>
    </w:p>
    <w:p>
      <w:pPr>
        <w:spacing w:after="40" w:before="40"/>
      </w:pPr>
      <w:r>
        <w:rPr>
          <w:rFonts w:ascii="Arial" w:cs="Arial" w:eastAsia="Arial" w:hAnsi="Arial"/>
          <w:b/>
          <w:bCs/>
          <w:color w:val="DC2626"/>
          <w:sz w:val="22"/>
          <w:szCs w:val="22"/>
        </w:rPr>
        <w:t xml:space="preserve">● DATA QUALITY CONCERN</w:t>
      </w:r>
    </w:p>
    <w:p>
      <w:pPr>
        <w:spacing w:after="100" w:before="60"/>
      </w:pPr>
      <w:r>
        <w:rPr>
          <w:rFonts w:ascii="Arial" w:cs="Arial" w:eastAsia="Arial" w:hAnsi="Arial"/>
          <w:color w:val="374151"/>
          <w:sz w:val="21"/>
          <w:szCs w:val="21"/>
        </w:rPr>
        <w:t xml:space="preserve">The 'Neutral' country designation accounts for ~50–51 women's WTA players and represents the 4th largest regional group by player volume. Top player Veronika Kudermetova ranks #14 with 38,002 total country points. This classification likely represents Russian/Belarusian players competing under a neutral flag — a geopolitically sensitive data dimension that should be clearly labelled and communicated in the platform's UX and any public-facing reporting.</w:t>
      </w:r>
    </w:p>
    <w:p>
      <w:pPr>
        <w:spacing w:after="0" w:before="100"/>
      </w:pPr>
      <w:r>
        <w:t xml:space="preserve"/>
      </w:r>
    </w:p>
    <w:p>
      <w:pPr>
        <w:pStyle w:val="Heading1"/>
        <w:spacing w:after="120" w:before="360"/>
      </w:pPr>
      <w:r>
        <w:rPr>
          <w:rFonts w:ascii="Arial" w:cs="Arial" w:eastAsia="Arial" w:hAnsi="Arial"/>
          <w:b/>
          <w:bCs/>
          <w:color w:val="1A1A3E"/>
          <w:sz w:val="30"/>
          <w:szCs w:val="30"/>
        </w:rPr>
        <w:t xml:space="preserve">4. Strategic Implications</w:t>
      </w:r>
    </w:p>
    <w:p>
      <w:pPr>
        <w:pBdr>
          <w:bottom w:val="single" w:color="E5E7EB" w:sz="4" w:space="1"/>
        </w:pBdr>
        <w:spacing w:after="80" w:before="80"/>
      </w:pPr>
      <w:r>
        <w:t xml:space="preserve"/>
      </w:r>
    </w:p>
    <w:p>
      <w:pPr>
        <w:spacing w:after="0" w:before="60"/>
      </w:pPr>
      <w:r>
        <w:t xml:space="preserve"/>
      </w:r>
    </w:p>
    <w:p>
      <w:pPr>
        <w:pStyle w:val="Heading2"/>
        <w:spacing w:after="80" w:before="240"/>
      </w:pPr>
      <w:r>
        <w:rPr>
          <w:rFonts w:ascii="Arial" w:cs="Arial" w:eastAsia="Arial" w:hAnsi="Arial"/>
          <w:b/>
          <w:bCs/>
          <w:color w:val="5B21B6"/>
          <w:sz w:val="24"/>
          <w:szCs w:val="24"/>
        </w:rPr>
        <w:t xml:space="preserve">4.1  Platform Opportunity: Depth vs. Star Power</w:t>
      </w:r>
    </w:p>
    <w:p>
      <w:pPr>
        <w:spacing w:after="100" w:before="60"/>
      </w:pPr>
      <w:r>
        <w:rPr>
          <w:rFonts w:ascii="Arial" w:cs="Arial" w:eastAsia="Arial" w:hAnsi="Arial"/>
          <w:color w:val="374151"/>
          <w:sz w:val="21"/>
          <w:szCs w:val="21"/>
        </w:rPr>
        <w:t xml:space="preserve">The average ranking points figure of 718 versus top-player scores of 8,000–10,000+ confirms that the platform serves a broad amateur-to-elite spectrum. This has segmentation implications: content, advertising, and engagement strategies must differ for the top 1% of players vs. the remaining 99%. The platform currently surfaces star-player data prominently, but the long tail of 1,015 competitors offers an underserved audience of aspiring players and national federations.</w:t>
      </w:r>
    </w:p>
    <w:p>
      <w:pPr>
        <w:spacing w:after="0" w:before="60"/>
      </w:pPr>
      <w:r>
        <w:t xml:space="preserve"/>
      </w:r>
    </w:p>
    <w:p>
      <w:pPr>
        <w:pStyle w:val="Heading2"/>
        <w:spacing w:after="80" w:before="240"/>
      </w:pPr>
      <w:r>
        <w:rPr>
          <w:rFonts w:ascii="Arial" w:cs="Arial" w:eastAsia="Arial" w:hAnsi="Arial"/>
          <w:b/>
          <w:bCs/>
          <w:color w:val="5B21B6"/>
          <w:sz w:val="24"/>
          <w:szCs w:val="24"/>
        </w:rPr>
        <w:t xml:space="preserve">4.2  Risk: Data Integrity Around Rank Movement</w:t>
      </w:r>
    </w:p>
    <w:p>
      <w:pPr>
        <w:spacing w:after="100" w:before="60"/>
      </w:pPr>
      <w:r>
        <w:rPr>
          <w:rFonts w:ascii="Arial" w:cs="Arial" w:eastAsia="Arial" w:hAnsi="Arial"/>
          <w:color w:val="374151"/>
          <w:sz w:val="21"/>
          <w:szCs w:val="21"/>
        </w:rPr>
        <w:t xml:space="preserve">The Altmaier anomaly (700-position movement) raises questions about the reliability of the 'movement' metric across the platform. If this figure is inaccurate, it undermines the credibility of the Top Movers section — one of the platform's more distinctive value-add features. Movement data should be validated against ITF/ATP/WTA official sources before public-facing publication.</w:t>
      </w:r>
    </w:p>
    <w:p>
      <w:pPr>
        <w:spacing w:after="0" w:before="60"/>
      </w:pPr>
      <w:r>
        <w:t xml:space="preserve"/>
      </w:r>
    </w:p>
    <w:p>
      <w:pPr>
        <w:pStyle w:val="Heading2"/>
        <w:spacing w:after="80" w:before="240"/>
      </w:pPr>
      <w:r>
        <w:rPr>
          <w:rFonts w:ascii="Arial" w:cs="Arial" w:eastAsia="Arial" w:hAnsi="Arial"/>
          <w:b/>
          <w:bCs/>
          <w:color w:val="5B21B6"/>
          <w:sz w:val="24"/>
          <w:szCs w:val="24"/>
        </w:rPr>
        <w:t xml:space="preserve">4.3  Opportunity: Country-Level Sponsorship Intelligence</w:t>
      </w:r>
    </w:p>
    <w:p>
      <w:pPr>
        <w:spacing w:after="100" w:before="60"/>
      </w:pPr>
      <w:r>
        <w:rPr>
          <w:rFonts w:ascii="Arial" w:cs="Arial" w:eastAsia="Arial" w:hAnsi="Arial"/>
          <w:color w:val="374151"/>
          <w:sz w:val="21"/>
          <w:szCs w:val="21"/>
        </w:rPr>
        <w:t xml:space="preserve">Countries like Czechia (high performance, low volume) and Great Britain (growing volume + high performance) represent different investment theses for national tennis federations and sponsors. The Country Wise Analysis module provides exactly the kind of intelligence that can drive federation-level conversations, but its interactive country selector is currently single-select — limiting its utility for cross-country comparison.</w:t>
      </w:r>
    </w:p>
    <w:p>
      <w:pPr>
        <w:spacing w:after="0" w:before="60"/>
      </w:pPr>
      <w:r>
        <w:t xml:space="preserve"/>
      </w:r>
    </w:p>
    <w:p>
      <w:pPr>
        <w:pStyle w:val="Heading2"/>
        <w:spacing w:after="80" w:before="240"/>
      </w:pPr>
      <w:r>
        <w:rPr>
          <w:rFonts w:ascii="Arial" w:cs="Arial" w:eastAsia="Arial" w:hAnsi="Arial"/>
          <w:b/>
          <w:bCs/>
          <w:color w:val="5B21B6"/>
          <w:sz w:val="24"/>
          <w:szCs w:val="24"/>
        </w:rPr>
        <w:t xml:space="preserve">4.4  Tour Parity &amp; Points Structure</w:t>
      </w:r>
    </w:p>
    <w:p>
      <w:pPr>
        <w:spacing w:after="100" w:before="60"/>
      </w:pPr>
      <w:r>
        <w:rPr>
          <w:rFonts w:ascii="Arial" w:cs="Arial" w:eastAsia="Arial" w:hAnsi="Arial"/>
          <w:color w:val="374151"/>
          <w:sz w:val="21"/>
          <w:szCs w:val="21"/>
        </w:rPr>
        <w:t xml:space="preserve">WTA's top player (10,500 pts) outpaces ATP's leader (8,320 pts) by 26%. While this may reflect genuine differences in tournament points structures, it could also confuse users comparing across tours. A normalised ranking metric (points as % of tour maximum, or Z-score) would make cross-tour comparisons more meaningful and actionable.</w:t>
      </w:r>
    </w:p>
    <w:p>
      <w:pPr>
        <w:spacing w:after="0" w:before="100"/>
      </w:pPr>
      <w:r>
        <w:t xml:space="preserve"/>
      </w:r>
    </w:p>
    <w:p>
      <w:pPr>
        <w:pStyle w:val="Heading1"/>
        <w:spacing w:after="120" w:before="360"/>
      </w:pPr>
      <w:r>
        <w:rPr>
          <w:rFonts w:ascii="Arial" w:cs="Arial" w:eastAsia="Arial" w:hAnsi="Arial"/>
          <w:b/>
          <w:bCs/>
          <w:color w:val="1A1A3E"/>
          <w:sz w:val="30"/>
          <w:szCs w:val="30"/>
        </w:rPr>
        <w:t xml:space="preserve">5. Actionable Recommendations</w:t>
      </w:r>
    </w:p>
    <w:p>
      <w:pPr>
        <w:pBdr>
          <w:bottom w:val="single" w:color="E5E7EB" w:sz="4" w:space="1"/>
        </w:pBdr>
        <w:spacing w:after="8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B21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single" w:color="D1D5DB" w:sz="1"/>
              <w:left w:val="none" w:color="FFFFFF" w:sz="0"/>
              <w:bottom w:val="single" w:color="D1D5DB" w:sz="1"/>
              <w:right w:val="single" w:color="D1D5DB" w:sz="1"/>
            </w:tcBorders>
            <w:shd w:fill="FAF5FF" w:val="clear"/>
            <w:tcMar>
              <w:top w:type="dxa" w:w="80"/>
              <w:left w:type="dxa" w:w="160"/>
              <w:bottom w:type="dxa" w:w="80"/>
              <w:right w:type="dxa" w:w="160"/>
            </w:tcMar>
          </w:tcPr>
          <w:p>
            <w:pPr>
              <w:spacing w:after="40" w:before="0"/>
            </w:pPr>
            <w:r>
              <w:rPr>
                <w:rFonts w:ascii="Arial" w:cs="Arial" w:eastAsia="Arial" w:hAnsi="Arial"/>
                <w:b/>
                <w:bCs/>
                <w:color w:val="1A1A3E"/>
                <w:sz w:val="22"/>
                <w:szCs w:val="22"/>
              </w:rPr>
              <w:t xml:space="preserve">Investigate &amp; Validate the Daniel Altmaier Movement Anomaly</w:t>
            </w:r>
          </w:p>
          <w:p>
            <w:pPr>
              <w:spacing w:after="0" w:before="0"/>
            </w:pPr>
            <w:r>
              <w:rPr>
                <w:rFonts w:ascii="Arial" w:cs="Arial" w:eastAsia="Arial" w:hAnsi="Arial"/>
                <w:color w:val="374151"/>
                <w:sz w:val="20"/>
                <w:szCs w:val="20"/>
              </w:rPr>
              <w:t xml:space="preserve">Cross-reference his movement figure against official ATP rankings data before the next reporting cycle. Implement an automated data validation rule flagging any single-period movement exceeding 3 standard deviations from the mean mover cohort. Establish a data QA checkpoint in the ETL pipeline. Target completion: within 2 weeks.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B21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single" w:color="D1D5DB" w:sz="1"/>
              <w:left w:val="none" w:color="FFFFFF" w:sz="0"/>
              <w:bottom w:val="single" w:color="D1D5DB" w:sz="1"/>
              <w:right w:val="single" w:color="D1D5DB" w:sz="1"/>
            </w:tcBorders>
            <w:shd w:fill="FAF5FF" w:val="clear"/>
            <w:tcMar>
              <w:top w:type="dxa" w:w="80"/>
              <w:left w:type="dxa" w:w="160"/>
              <w:bottom w:type="dxa" w:w="80"/>
              <w:right w:type="dxa" w:w="160"/>
            </w:tcMar>
          </w:tcPr>
          <w:p>
            <w:pPr>
              <w:spacing w:after="40" w:before="0"/>
            </w:pPr>
            <w:r>
              <w:rPr>
                <w:rFonts w:ascii="Arial" w:cs="Arial" w:eastAsia="Arial" w:hAnsi="Arial"/>
                <w:b/>
                <w:bCs/>
                <w:color w:val="1A1A3E"/>
                <w:sz w:val="22"/>
                <w:szCs w:val="22"/>
              </w:rPr>
              <w:t xml:space="preserve">Introduce Cross-Tour Normalised Points Metric</w:t>
            </w:r>
          </w:p>
          <w:p>
            <w:pPr>
              <w:spacing w:after="0" w:before="0"/>
            </w:pPr>
            <w:r>
              <w:rPr>
                <w:rFonts w:ascii="Arial" w:cs="Arial" w:eastAsia="Arial" w:hAnsi="Arial"/>
                <w:color w:val="374151"/>
                <w:sz w:val="20"/>
                <w:szCs w:val="20"/>
              </w:rPr>
              <w:t xml:space="preserve">Develop a 'Normalised Points Index' (NPI) that expresses each player's points as a percentile or Z-score relative to their tour average. This enables apple-to-apple comparisons between ATP and WTA players and enriches the Rank vs Points scatter plot with more actionable benchmarking. This feature would directly differentiate the platform from standard ITF/ATP leaderboards.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B21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760"/>
            <w:tcBorders>
              <w:top w:val="single" w:color="D1D5DB" w:sz="1"/>
              <w:left w:val="none" w:color="FFFFFF" w:sz="0"/>
              <w:bottom w:val="single" w:color="D1D5DB" w:sz="1"/>
              <w:right w:val="single" w:color="D1D5DB" w:sz="1"/>
            </w:tcBorders>
            <w:shd w:fill="FAF5FF" w:val="clear"/>
            <w:tcMar>
              <w:top w:type="dxa" w:w="80"/>
              <w:left w:type="dxa" w:w="160"/>
              <w:bottom w:type="dxa" w:w="80"/>
              <w:right w:type="dxa" w:w="160"/>
            </w:tcMar>
          </w:tcPr>
          <w:p>
            <w:pPr>
              <w:spacing w:after="40" w:before="0"/>
            </w:pPr>
            <w:r>
              <w:rPr>
                <w:rFonts w:ascii="Arial" w:cs="Arial" w:eastAsia="Arial" w:hAnsi="Arial"/>
                <w:b/>
                <w:bCs/>
                <w:color w:val="1A1A3E"/>
                <w:sz w:val="22"/>
                <w:szCs w:val="22"/>
              </w:rPr>
              <w:t xml:space="preserve">Relabel &amp; Contextualise the 'Neutral' Country Category</w:t>
            </w:r>
          </w:p>
          <w:p>
            <w:pPr>
              <w:spacing w:after="0" w:before="0"/>
            </w:pPr>
            <w:r>
              <w:rPr>
                <w:rFonts w:ascii="Arial" w:cs="Arial" w:eastAsia="Arial" w:hAnsi="Arial"/>
                <w:color w:val="374151"/>
                <w:sz w:val="20"/>
                <w:szCs w:val="20"/>
              </w:rPr>
              <w:t xml:space="preserve">Replace the 'Neutral' label with a tooltip or expandable note explaining that these are players competing under a neutral flag per ITF regulations. Given the sensitivity around Russian/Belarusian exclusions from major tours, this change mitigates reputational risk and improves data transparency for federation and media users. Prioritise for the next UI sprint.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B21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8760"/>
            <w:tcBorders>
              <w:top w:val="single" w:color="D1D5DB" w:sz="1"/>
              <w:left w:val="none" w:color="FFFFFF" w:sz="0"/>
              <w:bottom w:val="single" w:color="D1D5DB" w:sz="1"/>
              <w:right w:val="single" w:color="D1D5DB" w:sz="1"/>
            </w:tcBorders>
            <w:shd w:fill="FAF5FF" w:val="clear"/>
            <w:tcMar>
              <w:top w:type="dxa" w:w="80"/>
              <w:left w:type="dxa" w:w="160"/>
              <w:bottom w:type="dxa" w:w="80"/>
              <w:right w:type="dxa" w:w="160"/>
            </w:tcMar>
          </w:tcPr>
          <w:p>
            <w:pPr>
              <w:spacing w:after="40" w:before="0"/>
            </w:pPr>
            <w:r>
              <w:rPr>
                <w:rFonts w:ascii="Arial" w:cs="Arial" w:eastAsia="Arial" w:hAnsi="Arial"/>
                <w:b/>
                <w:bCs/>
                <w:color w:val="1A1A3E"/>
                <w:sz w:val="22"/>
                <w:szCs w:val="22"/>
              </w:rPr>
              <w:t xml:space="preserve">Develop a 'Country vs Country' Comparison Module</w:t>
            </w:r>
          </w:p>
          <w:p>
            <w:pPr>
              <w:spacing w:after="0" w:before="0"/>
            </w:pPr>
            <w:r>
              <w:rPr>
                <w:rFonts w:ascii="Arial" w:cs="Arial" w:eastAsia="Arial" w:hAnsi="Arial"/>
                <w:color w:val="374151"/>
                <w:sz w:val="20"/>
                <w:szCs w:val="20"/>
              </w:rPr>
              <w:t xml:space="preserve">Extend the Country Wise Analysis page to allow multi-country selection and side-by-side comparison of player volume, average rank, total points, and top performer. Given the platform already captures this data, the feature effort is primarily front-end. This would unlock federation-level use cases (e.g., France benchmarking vs. Spain ATP performance) and increase time-on-platform for institutional users.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B21B6"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5</w:t>
            </w:r>
          </w:p>
        </w:tc>
        <w:tc>
          <w:tcPr>
            <w:tcW w:type="dxa" w:w="8760"/>
            <w:tcBorders>
              <w:top w:val="single" w:color="D1D5DB" w:sz="1"/>
              <w:left w:val="none" w:color="FFFFFF" w:sz="0"/>
              <w:bottom w:val="single" w:color="D1D5DB" w:sz="1"/>
              <w:right w:val="single" w:color="D1D5DB" w:sz="1"/>
            </w:tcBorders>
            <w:shd w:fill="FAF5FF" w:val="clear"/>
            <w:tcMar>
              <w:top w:type="dxa" w:w="80"/>
              <w:left w:type="dxa" w:w="160"/>
              <w:bottom w:type="dxa" w:w="80"/>
              <w:right w:type="dxa" w:w="160"/>
            </w:tcMar>
          </w:tcPr>
          <w:p>
            <w:pPr>
              <w:spacing w:after="40" w:before="0"/>
            </w:pPr>
            <w:r>
              <w:rPr>
                <w:rFonts w:ascii="Arial" w:cs="Arial" w:eastAsia="Arial" w:hAnsi="Arial"/>
                <w:b/>
                <w:bCs/>
                <w:color w:val="1A1A3E"/>
                <w:sz w:val="22"/>
                <w:szCs w:val="22"/>
              </w:rPr>
              <w:t xml:space="preserve">Create a 'Fast Riser Watch' Newsletter / Alert Feature</w:t>
            </w:r>
          </w:p>
          <w:p>
            <w:pPr>
              <w:spacing w:after="0" w:before="0"/>
            </w:pPr>
            <w:r>
              <w:rPr>
                <w:rFonts w:ascii="Arial" w:cs="Arial" w:eastAsia="Arial" w:hAnsi="Arial"/>
                <w:color w:val="374151"/>
                <w:sz w:val="20"/>
                <w:szCs w:val="20"/>
              </w:rPr>
              <w:t xml:space="preserve">Leverage the Top Movers data to offer a subscription-based alert (email or in-app) that flags the top 5 rank movers each week. Daniel Altmaier's near-700-position jump is exactly the kind of story that sponsors, media outlets, and agents want to know first. This feature monetises an existing data asset with minimal incremental analytics cost and drives user retention through recurrent engagement.</w:t>
            </w:r>
          </w:p>
        </w:tc>
      </w:tr>
    </w:tbl>
    <w:p>
      <w:pPr>
        <w:spacing w:after="0" w:before="120"/>
      </w:pPr>
      <w:r>
        <w:t xml:space="preserve"/>
      </w:r>
    </w:p>
    <w:p>
      <w:pPr>
        <w:pBdr>
          <w:bottom w:val="single" w:color="E5E7EB" w:sz="4" w:space="1"/>
        </w:pBdr>
        <w:spacing w:after="80" w:before="80"/>
      </w:pPr>
      <w:r>
        <w:t xml:space="preserve"/>
      </w:r>
    </w:p>
    <w:p>
      <w:pPr>
        <w:spacing w:after="20" w:before="60"/>
        <w:jc w:val="center"/>
      </w:pPr>
      <w:r>
        <w:rPr>
          <w:rFonts w:ascii="Arial" w:cs="Arial" w:eastAsia="Arial" w:hAnsi="Arial"/>
          <w:i/>
          <w:iCs/>
          <w:color w:val="6B7280"/>
          <w:sz w:val="20"/>
          <w:szCs w:val="20"/>
        </w:rPr>
        <w:t xml:space="preserve">— End of Report —</w:t>
      </w:r>
    </w:p>
    <w:p>
      <w:pPr>
        <w:spacing w:after="0" w:before="20"/>
        <w:jc w:val="center"/>
      </w:pPr>
      <w:r>
        <w:rPr>
          <w:rFonts w:ascii="Arial" w:cs="Arial" w:eastAsia="Arial" w:hAnsi="Arial"/>
          <w:color w:val="9CA3AF"/>
          <w:sz w:val="17"/>
          <w:szCs w:val="17"/>
        </w:rPr>
        <w:t xml:space="preserve">Tennis Analytics Platform  |  Business Analyst Report  |  June 2026  |  Confidential</w:t>
      </w:r>
    </w:p>
    <w:sectPr>
      <w:headerReference w:type="default" r:id="rId7"/>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0"/>
      <w:gridCol w:w="3840"/>
    </w:tblGrid>
    <w:tr>
      <w:tc>
        <w:tcPr>
          <w:tcW w:type="dxa" w:w="6000"/>
          <w:tcBorders>
            <w:top w:val="none" w:color="FFFFFF" w:sz="0"/>
            <w:left w:val="none" w:color="FFFFFF" w:sz="0"/>
            <w:bottom w:val="none" w:color="FFFFFF" w:sz="0"/>
            <w:right w:val="none" w:color="FFFFFF" w:sz="0"/>
          </w:tcBorders>
          <w:shd w:fill="1A1A3E" w:val="clear"/>
          <w:tcMar>
            <w:top w:type="dxa" w:w="80"/>
            <w:left w:type="dxa" w:w="160"/>
            <w:bottom w:type="dxa" w:w="80"/>
            <w:right w:type="dxa" w:w="80"/>
          </w:tcMar>
          <w:vAlign w:val="center"/>
        </w:tcPr>
        <w:p>
          <w:r>
            <w:rPr>
              <w:rFonts w:ascii="Arial" w:cs="Arial" w:eastAsia="Arial" w:hAnsi="Arial"/>
              <w:b/>
              <w:bCs/>
              <w:color w:val="FFFFFF"/>
              <w:sz w:val="20"/>
              <w:szCs w:val="20"/>
            </w:rPr>
            <w:t xml:space="preserve">TENNIS ANALYTICS — BUSINESS ANALYST REPORT</w:t>
          </w:r>
        </w:p>
      </w:tc>
      <w:tc>
        <w:tcPr>
          <w:tcW w:type="dxa" w:w="3840"/>
          <w:tcBorders>
            <w:top w:val="none" w:color="FFFFFF" w:sz="0"/>
            <w:left w:val="none" w:color="FFFFFF" w:sz="0"/>
            <w:bottom w:val="none" w:color="FFFFFF" w:sz="0"/>
            <w:right w:val="none" w:color="FFFFFF" w:sz="0"/>
          </w:tcBorders>
          <w:shd w:fill="1A1A3E" w:val="clear"/>
          <w:tcMar>
            <w:top w:type="dxa" w:w="80"/>
            <w:left w:type="dxa" w:w="80"/>
            <w:bottom w:type="dxa" w:w="80"/>
            <w:right w:type="dxa" w:w="160"/>
          </w:tcMar>
          <w:vAlign w:val="center"/>
        </w:tcPr>
        <w:p>
          <w:pPr>
            <w:jc w:val="right"/>
          </w:pPr>
          <w:r>
            <w:rPr>
              <w:rFonts w:ascii="Arial" w:cs="Arial" w:eastAsia="Arial" w:hAnsi="Arial"/>
              <w:color w:val="C4B5FD"/>
              <w:sz w:val="18"/>
              <w:szCs w:val="18"/>
            </w:rPr>
            <w:t xml:space="preserve">June 2026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3E"/>
      <w:sz w:val="30"/>
      <w:szCs w:val="30"/>
    </w:rPr>
  </w:style>
  <w:style w:type="paragraph" w:styleId="Heading2">
    <w:name w:val="Heading 2"/>
    <w:basedOn w:val="Normal"/>
    <w:next w:val="Normal"/>
    <w:qFormat/>
    <w:pPr>
      <w:spacing w:after="80" w:before="240"/>
      <w:outlineLvl w:val="1"/>
    </w:pPr>
    <w:rPr>
      <w:rFonts w:ascii="Arial" w:cs="Arial" w:eastAsia="Arial" w:hAnsi="Arial"/>
      <w:b/>
      <w:bCs/>
      <w:color w:val="5B21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2026-06-22T14:33:48.339Z</dcterms:created>
  <dcterms:modified xsi:type="dcterms:W3CDTF">2026-06-22T14:33:48.339Z</dcterms:modified>
</cp:coreProperties>
</file>

<file path=docProps/custom.xml><?xml version="1.0" encoding="utf-8"?>
<Properties xmlns="http://schemas.openxmlformats.org/officeDocument/2006/custom-properties" xmlns:vt="http://schemas.openxmlformats.org/officeDocument/2006/docPropsVTypes"/>
</file>