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SERVICE AGREEMENT</w:t>
      </w:r>
    </w:p>
    <w:p>
      <w:r>
        <w:t>Between DataFlow Solutions Ltd (Service Provider) and RetailCo GmbH (Client).</w:t>
      </w:r>
    </w:p>
    <w:p>
      <w:r>
        <w:t>1. Identity of the Parties</w:t>
        <w:br/>
        <w:t>Service Provider: DataFlow Solutions Ltd. Client: RetailCo GmbH.</w:t>
      </w:r>
    </w:p>
    <w:p>
      <w:r>
        <w:t>2. Subject Matter</w:t>
        <w:br/>
        <w:t>Service Provider shall deliver data integration services as described in Annex A.</w:t>
      </w:r>
    </w:p>
    <w:p>
      <w:r>
        <w:t>3. Price and Payment Terms</w:t>
        <w:br/>
        <w:t>Total fee: EUR 24,000 payable in quarterly instalments of EUR 6,000.</w:t>
      </w:r>
    </w:p>
    <w:p>
      <w:r>
        <w:t>4. Delivery and Performance</w:t>
        <w:br/>
        <w:t>Delivery within 90 days of signing. Milestones as per Annex B.</w:t>
      </w:r>
    </w:p>
    <w:p>
      <w:r>
        <w:t>5. Warranties</w:t>
        <w:br/>
        <w:t>Service Provider warrants that services will meet the specifications in Annex A.</w:t>
      </w:r>
    </w:p>
    <w:p>
      <w:r>
        <w:t>6. Liability Limitation</w:t>
        <w:br/>
        <w:t>Neither party shall be liable for indirect or consequential damages.</w:t>
      </w:r>
    </w:p>
    <w:p>
      <w:r>
        <w:t>7. Dispute Resolution</w:t>
        <w:br/>
        <w:t>Disputes shall be resolved by arbitration under ICC Rules in Paris.</w:t>
      </w:r>
    </w:p>
    <w:p>
      <w:r>
        <w:t>8. Governing Law</w:t>
        <w:br/>
        <w:t>This agreement is governed by the laws of France.</w:t>
      </w:r>
    </w:p>
    <w:p>
      <w:r>
        <w:t>Signed on 1 April 2026.</w:t>
        <w:br/>
        <w:t>Service Provider: ________________    Client: 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