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Consulting Agreement</w:t>
      </w:r>
    </w:p>
    <w:p>
      <w:r>
        <w:t>CONSULTING SERVICES AGREEMENT</w:t>
      </w:r>
    </w:p>
    <w:p>
      <w:r>
        <w:t>This agreement is governed by the laws of France. Any dispute shall be referred to the courts of Paris.</w:t>
      </w:r>
    </w:p>
    <w:p>
      <w:r>
        <w:t>The client shall pay the consultant a monthly rate of 5000 EUR. Payment is due within 30 days of invoice.</w:t>
      </w:r>
    </w:p>
    <w:p>
      <w:r>
        <w:t>Either party may terminate this agreement upon 30 days written notice.</w:t>
      </w:r>
    </w:p>
    <w:p>
      <w:r>
        <w:t>The parties shall keep all exchanged information strictly confidential.</w:t>
      </w:r>
    </w:p>
    <w:p>
      <w:r>
        <w:t>The consultant will perform the services with reasonable care and skill.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