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Partnership Agreement</w:t>
      </w:r>
    </w:p>
    <w:p>
      <w:r>
        <w:t>GENERAL PARTNERSHIP AGREEMENT</w:t>
      </w:r>
    </w:p>
    <w:p>
      <w:r>
        <w:t>This agreement is governed by the laws of Netherlands. All disputes shall be submitted to the courts of Amsterdam.</w:t>
      </w:r>
    </w:p>
    <w:p>
      <w:r>
        <w:t>Each partner shall make an initial capital contribution of 20000 EUR.</w:t>
      </w:r>
    </w:p>
    <w:p>
      <w:r>
        <w:t>Profits and losses shall be shared equally between the partners.</w:t>
      </w:r>
    </w:p>
    <w:p>
      <w:r>
        <w:t>Decisions regarding the management of the partnership require the consent of both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