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Purchase Agreement</w:t>
      </w:r>
    </w:p>
    <w:p>
      <w:r>
        <w:t>PURCHASE AND SALE AGREEMENT</w:t>
      </w:r>
    </w:p>
    <w:p>
      <w:r>
        <w:t>This agreement is governed by the laws of England &amp; Wales. Any dispute shall be submitted to the courts of London.</w:t>
      </w:r>
    </w:p>
    <w:p>
      <w:r>
        <w:t>The goods sold under this contract are described in Schedule A. Delivery terms are FOB shipping point.</w:t>
      </w:r>
    </w:p>
    <w:p>
      <w:r>
        <w:t>Title and risk of loss shall transfer to the buyer upon delivery of the goods.</w:t>
      </w:r>
    </w:p>
    <w:p>
      <w:r>
        <w:t>Payment shall be made by bank transfer within 30 calendar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