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Construction Agreement</w:t>
      </w:r>
    </w:p>
    <w:p>
      <w:r>
        <w:t>CONSTRUCTION AND ENGINEERING CONTRACT</w:t>
      </w:r>
    </w:p>
    <w:p>
      <w:r>
        <w:t>This agreement is governed by the laws of Indonesia. Any dispute shall be referred to the courts of Jakarta.</w:t>
      </w:r>
    </w:p>
    <w:p>
      <w:r>
        <w:t>The scope of services includes building construction as defined in the drawings.</w:t>
      </w:r>
    </w:p>
    <w:p>
      <w:r>
        <w:t>Payment terms are based on milestones.</w:t>
      </w:r>
    </w:p>
    <w:p>
      <w:r>
        <w:t>The contractor warrants the work for 12 months after completion.</w:t>
      </w:r>
    </w:p>
    <w:p>
      <w:r>
        <w:t>Each party shall maintain comprehensive liability insurance and indemnify the other against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