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7068F" w14:textId="77777777" w:rsidR="00247B4E" w:rsidRDefault="00000000">
      <w:pPr>
        <w:spacing w:before="2400" w:after="240"/>
        <w:jc w:val="center"/>
      </w:pPr>
      <w:r>
        <w:rPr>
          <w:b/>
          <w:bCs/>
          <w:sz w:val="48"/>
          <w:szCs w:val="48"/>
        </w:rPr>
        <w:t>BUSINESS INSIGHT REPORT</w:t>
      </w:r>
    </w:p>
    <w:p w14:paraId="4E434B14" w14:textId="77777777" w:rsidR="00247B4E" w:rsidRDefault="00000000">
      <w:pPr>
        <w:spacing w:after="240"/>
        <w:jc w:val="center"/>
        <w:rPr>
          <w:sz w:val="30"/>
          <w:szCs w:val="30"/>
        </w:rPr>
      </w:pPr>
      <w:r>
        <w:rPr>
          <w:sz w:val="30"/>
          <w:szCs w:val="30"/>
        </w:rPr>
        <w:t>Global Sales &amp; Financial Performance – Interactive Power BI Dashboard</w:t>
      </w:r>
    </w:p>
    <w:p w14:paraId="2D3255EA" w14:textId="77777777" w:rsidR="009F6EAF" w:rsidRDefault="009F6EAF">
      <w:pPr>
        <w:spacing w:after="240"/>
        <w:jc w:val="center"/>
        <w:rPr>
          <w:sz w:val="30"/>
          <w:szCs w:val="30"/>
        </w:rPr>
      </w:pPr>
    </w:p>
    <w:p w14:paraId="265E669A" w14:textId="7CB5003E" w:rsidR="00FC0A34" w:rsidRDefault="00FC0A34" w:rsidP="00F0499E">
      <w:pPr>
        <w:spacing w:before="1200" w:after="120"/>
        <w:jc w:val="center"/>
      </w:pPr>
    </w:p>
    <w:p w14:paraId="7C774149" w14:textId="77777777" w:rsidR="007A1EA9" w:rsidRDefault="007A1EA9" w:rsidP="00D965A3">
      <w:pPr>
        <w:spacing w:before="1200" w:after="120"/>
      </w:pPr>
    </w:p>
    <w:p w14:paraId="44D1BBAD" w14:textId="77777777" w:rsidR="007A1EA9" w:rsidRDefault="007A1EA9" w:rsidP="00D965A3">
      <w:pPr>
        <w:spacing w:before="1200" w:after="120"/>
      </w:pPr>
    </w:p>
    <w:p w14:paraId="200DFF15" w14:textId="77777777" w:rsidR="007A1EA9" w:rsidRDefault="007A1EA9" w:rsidP="00D965A3">
      <w:pPr>
        <w:spacing w:before="1200" w:after="120"/>
      </w:pPr>
    </w:p>
    <w:p w14:paraId="4DA1B14E" w14:textId="3D19C100" w:rsidR="00D965A3" w:rsidRDefault="00D675F4" w:rsidP="00D965A3">
      <w:pPr>
        <w:spacing w:before="1200" w:after="120"/>
      </w:pPr>
      <w:r>
        <w:t>Name: Adhinarayanan</w:t>
      </w:r>
      <w:r w:rsidR="00D965A3">
        <w:br/>
        <w:t>Dep: B.com fintech with AI</w:t>
      </w:r>
      <w:r w:rsidR="00D965A3">
        <w:br/>
        <w:t xml:space="preserve">Reg: </w:t>
      </w:r>
      <w:r w:rsidR="007A1EA9">
        <w:t>5272510201</w:t>
      </w:r>
    </w:p>
    <w:p w14:paraId="5E017F8E" w14:textId="58A5B6E1" w:rsidR="00247B4E" w:rsidRDefault="00247B4E" w:rsidP="00E71EC6">
      <w:pPr>
        <w:spacing w:before="1200" w:after="120"/>
        <w:jc w:val="center"/>
      </w:pPr>
    </w:p>
    <w:p w14:paraId="4949B5E0" w14:textId="77777777" w:rsidR="00B710E0" w:rsidRDefault="00B710E0" w:rsidP="00E71EC6">
      <w:pPr>
        <w:spacing w:before="1200" w:after="120"/>
        <w:jc w:val="center"/>
      </w:pPr>
    </w:p>
    <w:p w14:paraId="620BAC5B" w14:textId="77777777" w:rsidR="00B710E0" w:rsidRDefault="00B710E0" w:rsidP="00E71EC6">
      <w:pPr>
        <w:spacing w:before="1200" w:after="120"/>
        <w:jc w:val="center"/>
      </w:pPr>
    </w:p>
    <w:p w14:paraId="323E9953" w14:textId="0957B534" w:rsidR="00687C8B" w:rsidRDefault="00B31CC6" w:rsidP="00B31CC6">
      <w:pPr>
        <w:tabs>
          <w:tab w:val="left" w:pos="3660"/>
        </w:tabs>
        <w:spacing w:before="1200" w:after="120"/>
      </w:pPr>
      <w:r>
        <w:tab/>
      </w:r>
    </w:p>
    <w:p w14:paraId="7A874F5C" w14:textId="77777777" w:rsidR="00247B4E" w:rsidRDefault="00000000">
      <w:r>
        <w:br w:type="page"/>
      </w:r>
    </w:p>
    <w:p w14:paraId="33FC8864" w14:textId="77777777" w:rsidR="00247B4E" w:rsidRDefault="00000000">
      <w:pPr>
        <w:pStyle w:val="Heading1"/>
      </w:pPr>
      <w:r>
        <w:lastRenderedPageBreak/>
        <w:t>2. Introduction</w:t>
      </w:r>
    </w:p>
    <w:p w14:paraId="7A09237D" w14:textId="77777777" w:rsidR="00247B4E" w:rsidRDefault="00000000">
      <w:pPr>
        <w:spacing w:after="120"/>
      </w:pPr>
      <w:r>
        <w:t>This report analyses a sales dataset through an interactive Power BI dashboard titled "Global Sales &amp; Financial Performance". The data covers 2018 to 2024 and is organised as a star schema with Product, Customer, Employee, Geography and Date tables. In total it records about 100,000 orders and 300,006 units sold across six product categories and five regions.</w:t>
      </w:r>
    </w:p>
    <w:p w14:paraId="4BA37755" w14:textId="77777777" w:rsidR="00247B4E" w:rsidRDefault="00000000">
      <w:pPr>
        <w:pStyle w:val="ListParagraph"/>
        <w:numPr>
          <w:ilvl w:val="0"/>
          <w:numId w:val="2"/>
        </w:numPr>
      </w:pPr>
      <w:r>
        <w:rPr>
          <w:b/>
          <w:bCs/>
        </w:rPr>
        <w:t>Dataset:</w:t>
      </w:r>
      <w:r>
        <w:t xml:space="preserve"> a sales dataset of about 100K orders, 2018–2024, with sales, cost, profit and quantity measures calculated using DAX.</w:t>
      </w:r>
    </w:p>
    <w:p w14:paraId="5925DAB5" w14:textId="77777777" w:rsidR="00247B4E" w:rsidRDefault="00000000">
      <w:pPr>
        <w:pStyle w:val="ListParagraph"/>
        <w:numPr>
          <w:ilvl w:val="0"/>
          <w:numId w:val="2"/>
        </w:numPr>
      </w:pPr>
      <w:r>
        <w:rPr>
          <w:b/>
          <w:bCs/>
        </w:rPr>
        <w:t>Purpose of the dashboard:</w:t>
      </w:r>
      <w:r>
        <w:t xml:space="preserve"> to monitor sales, profit, cost and volume at a glance, and to compare performance by product category, month, region and employee using interactive filters.</w:t>
      </w:r>
    </w:p>
    <w:p w14:paraId="1C444200" w14:textId="77777777" w:rsidR="00247B4E" w:rsidRDefault="00000000">
      <w:pPr>
        <w:pStyle w:val="ListParagraph"/>
        <w:numPr>
          <w:ilvl w:val="0"/>
          <w:numId w:val="2"/>
        </w:numPr>
      </w:pPr>
      <w:r>
        <w:rPr>
          <w:b/>
          <w:bCs/>
        </w:rPr>
        <w:t>Purpose of this report:</w:t>
      </w:r>
      <w:r>
        <w:t xml:space="preserve"> to interpret what the dashboard shows, identify the key business insights and recommend actions to improve performance.</w:t>
      </w:r>
    </w:p>
    <w:p w14:paraId="01A4B13A" w14:textId="77777777" w:rsidR="00247B4E" w:rsidRDefault="00000000">
      <w:pPr>
        <w:pStyle w:val="Heading1"/>
      </w:pPr>
      <w:r>
        <w:t>3. Dashboard Overview</w:t>
      </w:r>
    </w:p>
    <w:p w14:paraId="262FAC87" w14:textId="77777777" w:rsidR="00247B4E" w:rsidRDefault="00000000">
      <w:pPr>
        <w:pStyle w:val="Heading2"/>
      </w:pPr>
      <w:r>
        <w:t>Dashboard Screenshot</w:t>
      </w:r>
    </w:p>
    <w:p w14:paraId="0DFA8233" w14:textId="77777777" w:rsidR="00247B4E" w:rsidRDefault="00000000">
      <w:pPr>
        <w:keepNext/>
        <w:spacing w:before="80" w:after="60"/>
        <w:jc w:val="center"/>
      </w:pPr>
      <w:r>
        <w:rPr>
          <w:noProof/>
        </w:rPr>
        <w:drawing>
          <wp:inline distT="0" distB="0" distL="0" distR="0" wp14:anchorId="7AF57D3E" wp14:editId="36D2B440">
            <wp:extent cx="5943600" cy="3200400"/>
            <wp:effectExtent l="0" t="0" r="0" b="0"/>
            <wp:docPr id="1" name="Figure 1: Interactive Sales Dashboard (no filters applied)" descr="Figure 1: Interactive Sales Dashboard (no filters applied)" title="Figure 1: Interactive Sales Dashboard (no filters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3200400"/>
                    </a:xfrm>
                    <a:prstGeom prst="rect">
                      <a:avLst/>
                    </a:prstGeom>
                  </pic:spPr>
                </pic:pic>
              </a:graphicData>
            </a:graphic>
          </wp:inline>
        </w:drawing>
      </w:r>
    </w:p>
    <w:p w14:paraId="5E61A49F" w14:textId="77777777" w:rsidR="00247B4E" w:rsidRDefault="00000000">
      <w:pPr>
        <w:spacing w:after="200"/>
        <w:jc w:val="center"/>
      </w:pPr>
      <w:r>
        <w:rPr>
          <w:i/>
          <w:iCs/>
          <w:color w:val="444444"/>
          <w:sz w:val="20"/>
          <w:szCs w:val="20"/>
        </w:rPr>
        <w:t>Figure 1: Interactive Sales Dashboard (no filters applied)</w:t>
      </w:r>
    </w:p>
    <w:p w14:paraId="62F551E5" w14:textId="77777777" w:rsidR="00247B4E" w:rsidRDefault="00000000">
      <w:pPr>
        <w:spacing w:after="120"/>
        <w:rPr>
          <w:b/>
          <w:bCs/>
        </w:rPr>
      </w:pPr>
      <w:r>
        <w:rPr>
          <w:b/>
          <w:bCs/>
        </w:rPr>
        <w:t>Purpose of the dashboard</w:t>
      </w:r>
    </w:p>
    <w:p w14:paraId="7853B686" w14:textId="77777777" w:rsidR="00247B4E" w:rsidRDefault="00000000">
      <w:pPr>
        <w:spacing w:after="120"/>
      </w:pPr>
      <w:r>
        <w:t>The dashboard gives managers a single view of overall sales and profitability and lets them drill into any product category, region or year to see where performance is strong or weak.</w:t>
      </w:r>
    </w:p>
    <w:p w14:paraId="3E8E27F1" w14:textId="77777777" w:rsidR="00247B4E" w:rsidRDefault="00000000">
      <w:pPr>
        <w:spacing w:after="120"/>
        <w:rPr>
          <w:b/>
          <w:bCs/>
        </w:rPr>
      </w:pPr>
      <w:r>
        <w:rPr>
          <w:b/>
          <w:bCs/>
        </w:rPr>
        <w:t>Key components</w:t>
      </w:r>
    </w:p>
    <w:p w14:paraId="6E9F2CBA" w14:textId="77777777" w:rsidR="00247B4E" w:rsidRDefault="00000000">
      <w:pPr>
        <w:pStyle w:val="ListParagraph"/>
        <w:numPr>
          <w:ilvl w:val="0"/>
          <w:numId w:val="2"/>
        </w:numPr>
      </w:pPr>
      <w:r>
        <w:t>KPI cards: Total Sales, Total Profit, Total Quantity, Total Cost, Order Count and Average Sales</w:t>
      </w:r>
    </w:p>
    <w:p w14:paraId="6B83D627" w14:textId="77777777" w:rsidR="00247B4E" w:rsidRDefault="00000000">
      <w:pPr>
        <w:pStyle w:val="ListParagraph"/>
        <w:numPr>
          <w:ilvl w:val="0"/>
          <w:numId w:val="2"/>
        </w:numPr>
      </w:pPr>
      <w:r>
        <w:t>Total Sales by Category (column chart)</w:t>
      </w:r>
    </w:p>
    <w:p w14:paraId="3BBB764D" w14:textId="77777777" w:rsidR="00247B4E" w:rsidRDefault="00000000">
      <w:pPr>
        <w:pStyle w:val="ListParagraph"/>
        <w:numPr>
          <w:ilvl w:val="0"/>
          <w:numId w:val="2"/>
        </w:numPr>
      </w:pPr>
      <w:r>
        <w:t>Total Sales by Month (line chart)</w:t>
      </w:r>
    </w:p>
    <w:p w14:paraId="21B6439D" w14:textId="77777777" w:rsidR="00247B4E" w:rsidRDefault="00000000">
      <w:pPr>
        <w:pStyle w:val="ListParagraph"/>
        <w:numPr>
          <w:ilvl w:val="0"/>
          <w:numId w:val="2"/>
        </w:numPr>
      </w:pPr>
      <w:r>
        <w:t>Total Sales by Region (donut chart)</w:t>
      </w:r>
    </w:p>
    <w:p w14:paraId="684C9721" w14:textId="77777777" w:rsidR="00247B4E" w:rsidRDefault="00000000">
      <w:pPr>
        <w:pStyle w:val="ListParagraph"/>
        <w:numPr>
          <w:ilvl w:val="0"/>
          <w:numId w:val="2"/>
        </w:numPr>
      </w:pPr>
      <w:r>
        <w:t>Total Profit by Employee (bar chart)</w:t>
      </w:r>
    </w:p>
    <w:p w14:paraId="5D4EB690" w14:textId="77777777" w:rsidR="00247B4E" w:rsidRDefault="00000000">
      <w:pPr>
        <w:pStyle w:val="ListParagraph"/>
        <w:numPr>
          <w:ilvl w:val="0"/>
          <w:numId w:val="2"/>
        </w:numPr>
      </w:pPr>
      <w:r>
        <w:lastRenderedPageBreak/>
        <w:t>Product table showing Product Name, Total Sales, Total Quantity and Total Profit</w:t>
      </w:r>
    </w:p>
    <w:p w14:paraId="2FBE8988" w14:textId="77777777" w:rsidR="00247B4E" w:rsidRDefault="00000000">
      <w:pPr>
        <w:spacing w:after="120"/>
        <w:rPr>
          <w:b/>
          <w:bCs/>
        </w:rPr>
      </w:pPr>
      <w:r>
        <w:rPr>
          <w:b/>
          <w:bCs/>
        </w:rPr>
        <w:t>Interactive filters available</w:t>
      </w:r>
    </w:p>
    <w:p w14:paraId="3BAEEA5E" w14:textId="77777777" w:rsidR="00247B4E" w:rsidRDefault="00000000">
      <w:pPr>
        <w:pStyle w:val="ListParagraph"/>
        <w:numPr>
          <w:ilvl w:val="0"/>
          <w:numId w:val="2"/>
        </w:numPr>
      </w:pPr>
      <w:r>
        <w:rPr>
          <w:b/>
          <w:bCs/>
        </w:rPr>
        <w:t>Year:</w:t>
      </w:r>
      <w:r>
        <w:t xml:space="preserve"> a range slider (currently 2018 to 2024) that limits every visual to the chosen years.</w:t>
      </w:r>
    </w:p>
    <w:p w14:paraId="4061E852" w14:textId="77777777" w:rsidR="00247B4E" w:rsidRDefault="00000000">
      <w:pPr>
        <w:pStyle w:val="ListParagraph"/>
        <w:numPr>
          <w:ilvl w:val="0"/>
          <w:numId w:val="2"/>
        </w:numPr>
      </w:pPr>
      <w:r>
        <w:rPr>
          <w:b/>
          <w:bCs/>
        </w:rPr>
        <w:t>Region:</w:t>
      </w:r>
      <w:r>
        <w:t xml:space="preserve"> a dropdown (currently "All") that filters the dashboard to Central, South, West, North or East.</w:t>
      </w:r>
    </w:p>
    <w:p w14:paraId="071A7945" w14:textId="77777777" w:rsidR="00247B4E" w:rsidRDefault="00000000">
      <w:pPr>
        <w:pStyle w:val="ListParagraph"/>
        <w:numPr>
          <w:ilvl w:val="0"/>
          <w:numId w:val="2"/>
        </w:numPr>
      </w:pPr>
      <w:r>
        <w:rPr>
          <w:b/>
          <w:bCs/>
        </w:rPr>
        <w:t>Category:</w:t>
      </w:r>
      <w:r>
        <w:t xml:space="preserve"> a dropdown (currently "All") that filters to Clothing, Accessories, Kitchen, Electronics, Outdoors or Furniture.</w:t>
      </w:r>
    </w:p>
    <w:p w14:paraId="1DAAF9A0" w14:textId="77777777" w:rsidR="00247B4E" w:rsidRDefault="00000000">
      <w:pPr>
        <w:spacing w:after="120"/>
      </w:pPr>
      <w:r>
        <w:t>The dashboard also contains a second page, "Sales performance analysis", and a "DAX Validation" page whose product table is used to check that the measures reconcile with the KPI cards (see Appendix).</w:t>
      </w:r>
    </w:p>
    <w:p w14:paraId="43373363" w14:textId="77777777" w:rsidR="00247B4E" w:rsidRDefault="00000000">
      <w:r>
        <w:br w:type="page"/>
      </w:r>
    </w:p>
    <w:p w14:paraId="37BB22A6" w14:textId="77777777" w:rsidR="00247B4E" w:rsidRDefault="00000000">
      <w:pPr>
        <w:pStyle w:val="Heading1"/>
      </w:pPr>
      <w:r>
        <w:lastRenderedPageBreak/>
        <w:t>4. KPI Analysis</w:t>
      </w:r>
    </w:p>
    <w:p w14:paraId="212D114C" w14:textId="77777777" w:rsidR="00247B4E" w:rsidRDefault="00000000">
      <w:pPr>
        <w:keepNext/>
        <w:spacing w:before="80" w:after="60"/>
        <w:jc w:val="center"/>
      </w:pPr>
      <w:r>
        <w:rPr>
          <w:noProof/>
        </w:rPr>
        <w:drawing>
          <wp:inline distT="0" distB="0" distL="0" distR="0" wp14:anchorId="4C59D77C" wp14:editId="2DACA0E4">
            <wp:extent cx="5943600" cy="666750"/>
            <wp:effectExtent l="0" t="0" r="0" b="0"/>
            <wp:docPr id="1327542930" name="Figure 2: KPI cards" descr="Figure 2: KPI cards" title="Figure 2: KPI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666750"/>
                    </a:xfrm>
                    <a:prstGeom prst="rect">
                      <a:avLst/>
                    </a:prstGeom>
                  </pic:spPr>
                </pic:pic>
              </a:graphicData>
            </a:graphic>
          </wp:inline>
        </w:drawing>
      </w:r>
    </w:p>
    <w:p w14:paraId="58FD6607" w14:textId="77777777" w:rsidR="00247B4E" w:rsidRDefault="00000000">
      <w:pPr>
        <w:spacing w:after="200"/>
        <w:jc w:val="center"/>
      </w:pPr>
      <w:r>
        <w:rPr>
          <w:i/>
          <w:iCs/>
          <w:color w:val="444444"/>
          <w:sz w:val="20"/>
          <w:szCs w:val="20"/>
        </w:rPr>
        <w:t>Figure 2: KPI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5460"/>
      </w:tblGrid>
      <w:tr w:rsidR="00247B4E" w14:paraId="05DAD8D1"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0C3FF715" w14:textId="77777777" w:rsidR="00247B4E" w:rsidRDefault="00000000">
            <w:r>
              <w:rPr>
                <w:b/>
                <w:bCs/>
              </w:rPr>
              <w:t>KPI</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0CF6A09F" w14:textId="77777777" w:rsidR="00247B4E" w:rsidRDefault="00000000">
            <w:r>
              <w:rPr>
                <w:b/>
                <w:bCs/>
              </w:rPr>
              <w:t>Value</w:t>
            </w:r>
          </w:p>
        </w:tc>
        <w:tc>
          <w:tcPr>
            <w:tcW w:w="54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6C7CABE1" w14:textId="77777777" w:rsidR="00247B4E" w:rsidRDefault="00000000">
            <w:r>
              <w:rPr>
                <w:b/>
                <w:bCs/>
              </w:rPr>
              <w:t>Interpretation</w:t>
            </w:r>
          </w:p>
        </w:tc>
      </w:tr>
      <w:tr w:rsidR="00247B4E" w14:paraId="08CDC8AE"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7BC89FE" w14:textId="77777777" w:rsidR="00247B4E" w:rsidRDefault="00000000">
            <w:r>
              <w:t>Total Sales</w:t>
            </w:r>
          </w:p>
        </w:tc>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706945D" w14:textId="77777777" w:rsidR="00247B4E" w:rsidRDefault="00000000">
            <w:r>
              <w:t>70.64M (70,635,711.87)</w:t>
            </w:r>
          </w:p>
        </w:tc>
        <w:tc>
          <w:tcPr>
            <w:tcW w:w="54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2768B61" w14:textId="77777777" w:rsidR="00247B4E" w:rsidRDefault="00000000">
            <w:r>
              <w:t>Overall revenue generated across 2018–2024. This is the top-line figure against which all other KPIs are judged.</w:t>
            </w:r>
          </w:p>
        </w:tc>
      </w:tr>
      <w:tr w:rsidR="00247B4E" w14:paraId="0BE2BAF1"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99876C7" w14:textId="77777777" w:rsidR="00247B4E" w:rsidRDefault="00000000">
            <w:r>
              <w:t>Total Profit</w:t>
            </w:r>
          </w:p>
        </w:tc>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1199A4" w14:textId="77777777" w:rsidR="00247B4E" w:rsidRDefault="00000000">
            <w:r>
              <w:t>25.12M (25,116,018.03)</w:t>
            </w:r>
          </w:p>
        </w:tc>
        <w:tc>
          <w:tcPr>
            <w:tcW w:w="54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401141" w14:textId="77777777" w:rsidR="00247B4E" w:rsidRDefault="00000000">
            <w:r>
              <w:t>Profit is about 35.6% of sales (25.12M ÷ 70.64M), a healthy overall margin.</w:t>
            </w:r>
          </w:p>
        </w:tc>
      </w:tr>
      <w:tr w:rsidR="00247B4E" w14:paraId="70368589"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42A583D" w14:textId="77777777" w:rsidR="00247B4E" w:rsidRDefault="00000000">
            <w:r>
              <w:t>Total Quantity</w:t>
            </w:r>
          </w:p>
        </w:tc>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787E7D7" w14:textId="77777777" w:rsidR="00247B4E" w:rsidRDefault="00000000">
            <w:r>
              <w:t>300K (300,006 units)</w:t>
            </w:r>
          </w:p>
        </w:tc>
        <w:tc>
          <w:tcPr>
            <w:tcW w:w="54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3D5E81D" w14:textId="77777777" w:rsidR="00247B4E" w:rsidRDefault="00000000">
            <w:r>
              <w:t>Overall volume sold. Selling about 3 units per order shows that customers typically buy several items at a time.</w:t>
            </w:r>
          </w:p>
        </w:tc>
      </w:tr>
      <w:tr w:rsidR="00247B4E" w14:paraId="6DF17AD0"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6ADD346" w14:textId="77777777" w:rsidR="00247B4E" w:rsidRDefault="00000000">
            <w:r>
              <w:t>Total Cost</w:t>
            </w:r>
          </w:p>
        </w:tc>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58F2409" w14:textId="77777777" w:rsidR="00247B4E" w:rsidRDefault="00000000">
            <w:r>
              <w:t>45.52M</w:t>
            </w:r>
          </w:p>
        </w:tc>
        <w:tc>
          <w:tcPr>
            <w:tcW w:w="54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662DA2" w14:textId="77777777" w:rsidR="00247B4E" w:rsidRDefault="00000000">
            <w:r>
              <w:t>Costs absorb about 64.4% of sales. Cost equals Sales minus Profit (70.64M − 25.12M), so the figures reconcile.</w:t>
            </w:r>
          </w:p>
        </w:tc>
      </w:tr>
      <w:tr w:rsidR="00247B4E" w14:paraId="02C1E7A2"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016B08" w14:textId="77777777" w:rsidR="00247B4E" w:rsidRDefault="00000000">
            <w:r>
              <w:t>Order Count</w:t>
            </w:r>
          </w:p>
        </w:tc>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573FA49" w14:textId="77777777" w:rsidR="00247B4E" w:rsidRDefault="00000000">
            <w:r>
              <w:t>100K</w:t>
            </w:r>
          </w:p>
        </w:tc>
        <w:tc>
          <w:tcPr>
            <w:tcW w:w="54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D5576F8" w14:textId="77777777" w:rsidR="00247B4E" w:rsidRDefault="00000000">
            <w:r>
              <w:t>Indicates a very high level of order activity; sales growth depends on keeping this volume of orders flowing.</w:t>
            </w:r>
          </w:p>
        </w:tc>
      </w:tr>
      <w:tr w:rsidR="00247B4E" w14:paraId="7E63A45C"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DFD5BE" w14:textId="77777777" w:rsidR="00247B4E" w:rsidRDefault="00000000">
            <w:r>
              <w:t>Average Sales</w:t>
            </w:r>
          </w:p>
        </w:tc>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D17B418" w14:textId="77777777" w:rsidR="00247B4E" w:rsidRDefault="00000000">
            <w:r>
              <w:t>706.36</w:t>
            </w:r>
          </w:p>
        </w:tc>
        <w:tc>
          <w:tcPr>
            <w:tcW w:w="54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64AD93" w14:textId="77777777" w:rsidR="00247B4E" w:rsidRDefault="00000000">
            <w:r>
              <w:t>Average revenue per order (70.64M ÷ 100K). With roughly 3 units per order, the average selling price is about 235 per unit.</w:t>
            </w:r>
          </w:p>
        </w:tc>
      </w:tr>
    </w:tbl>
    <w:p w14:paraId="4FA553F5" w14:textId="77777777" w:rsidR="00247B4E" w:rsidRDefault="00247B4E">
      <w:pPr>
        <w:spacing w:after="120"/>
      </w:pPr>
    </w:p>
    <w:p w14:paraId="1492C5A2" w14:textId="77777777" w:rsidR="00247B4E" w:rsidRDefault="00000000">
      <w:pPr>
        <w:spacing w:after="120"/>
      </w:pPr>
      <w:r>
        <w:t>Overall, the business generates about 706 in sales and about 251 in profit on every order, so profitability depends on order volume and on controlling the 64% cost share.</w:t>
      </w:r>
    </w:p>
    <w:p w14:paraId="5DB49358" w14:textId="77777777" w:rsidR="00247B4E" w:rsidRDefault="00000000">
      <w:pPr>
        <w:pStyle w:val="Heading1"/>
      </w:pPr>
      <w:r>
        <w:lastRenderedPageBreak/>
        <w:t>5. Product Category Performance Analysis</w:t>
      </w:r>
    </w:p>
    <w:p w14:paraId="73857959" w14:textId="77777777" w:rsidR="00247B4E" w:rsidRDefault="00000000">
      <w:pPr>
        <w:keepNext/>
        <w:spacing w:before="80" w:after="60"/>
        <w:jc w:val="center"/>
      </w:pPr>
      <w:r>
        <w:rPr>
          <w:noProof/>
        </w:rPr>
        <w:drawing>
          <wp:inline distT="0" distB="0" distL="0" distR="0" wp14:anchorId="52A5136F" wp14:editId="21E7638A">
            <wp:extent cx="4476750" cy="2609850"/>
            <wp:effectExtent l="0" t="0" r="0" b="0"/>
            <wp:docPr id="123454090" name="Figure 3: Total Sales by Category" descr="Figure 3: Total Sales by Category" title="Figure 3: Total Sales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609850"/>
                    </a:xfrm>
                    <a:prstGeom prst="rect">
                      <a:avLst/>
                    </a:prstGeom>
                  </pic:spPr>
                </pic:pic>
              </a:graphicData>
            </a:graphic>
          </wp:inline>
        </w:drawing>
      </w:r>
    </w:p>
    <w:p w14:paraId="628D3820" w14:textId="77777777" w:rsidR="00247B4E" w:rsidRDefault="00000000">
      <w:pPr>
        <w:spacing w:after="200"/>
        <w:jc w:val="center"/>
      </w:pPr>
      <w:r>
        <w:rPr>
          <w:i/>
          <w:iCs/>
          <w:color w:val="444444"/>
          <w:sz w:val="20"/>
          <w:szCs w:val="20"/>
        </w:rPr>
        <w:t>Figure 3: Total Sales by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47B4E" w14:paraId="7DA898C2"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5EAF19EF" w14:textId="77777777" w:rsidR="00247B4E" w:rsidRDefault="00000000">
            <w:r>
              <w:rPr>
                <w:b/>
                <w:bCs/>
              </w:rPr>
              <w:t>Item</w:t>
            </w:r>
          </w:p>
        </w:tc>
        <w:tc>
          <w:tcPr>
            <w:tcW w:w="65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E82DEC1" w14:textId="77777777" w:rsidR="00247B4E" w:rsidRDefault="00000000">
            <w:r>
              <w:rPr>
                <w:b/>
                <w:bCs/>
              </w:rPr>
              <w:t>Observation</w:t>
            </w:r>
          </w:p>
        </w:tc>
      </w:tr>
      <w:tr w:rsidR="00247B4E" w14:paraId="6B769A61"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7F9340D" w14:textId="77777777" w:rsidR="00247B4E" w:rsidRDefault="00000000">
            <w:r>
              <w:t>Highest-selling category</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E4EAE04" w14:textId="77777777" w:rsidR="00247B4E" w:rsidRDefault="00000000">
            <w:r>
              <w:t>Clothing, at about 14M in sales (about 20% of the total).</w:t>
            </w:r>
          </w:p>
        </w:tc>
      </w:tr>
      <w:tr w:rsidR="00247B4E" w14:paraId="2042A996"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0D6DA7" w14:textId="77777777" w:rsidR="00247B4E" w:rsidRDefault="00000000">
            <w:r>
              <w:t>Lowest-selling category</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E348798" w14:textId="77777777" w:rsidR="00247B4E" w:rsidRDefault="00000000">
            <w:r>
              <w:t>Outdoors and Furniture, both at about 10M (they are tied at the rounded value).</w:t>
            </w:r>
          </w:p>
        </w:tc>
      </w:tr>
      <w:tr w:rsidR="00247B4E" w14:paraId="256CF934"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870B164" w14:textId="77777777" w:rsidR="00247B4E" w:rsidRDefault="00000000">
            <w:r>
              <w:t>Relative differences</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6521142" w14:textId="77777777" w:rsidR="00247B4E" w:rsidRDefault="00000000">
            <w:r>
              <w:t>Clothing sells about 40% more than Outdoors or Furniture. The order is Clothing 14M, Accessories 13M, Kitchen 13M, Electronics 11M, Outdoors 10M, Furniture 10M.</w:t>
            </w:r>
          </w:p>
        </w:tc>
      </w:tr>
      <w:tr w:rsidR="00247B4E" w14:paraId="7840409C"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0A10CC4" w14:textId="77777777" w:rsidR="00247B4E" w:rsidRDefault="00000000">
            <w:r>
              <w:t>Important observations</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D73A2FB" w14:textId="77777777" w:rsidR="00247B4E" w:rsidRDefault="00000000">
            <w:r>
              <w:t>Three categories (Clothing, Accessories and Kitchen) account for roughly 40M, or about 57% of total sales. The chart shows rounded values, so small gaps between categories cannot be read exactly.</w:t>
            </w:r>
          </w:p>
        </w:tc>
      </w:tr>
    </w:tbl>
    <w:p w14:paraId="53FBA12C" w14:textId="77777777" w:rsidR="00247B4E" w:rsidRDefault="00247B4E">
      <w:pPr>
        <w:spacing w:after="120"/>
      </w:pPr>
    </w:p>
    <w:p w14:paraId="7763029A" w14:textId="77777777" w:rsidR="00247B4E" w:rsidRDefault="00000000">
      <w:pPr>
        <w:keepNext/>
        <w:spacing w:after="120"/>
        <w:rPr>
          <w:b/>
          <w:bCs/>
        </w:rPr>
      </w:pPr>
      <w:r>
        <w:rPr>
          <w:b/>
          <w:bCs/>
        </w:rPr>
        <w:t>Key Insight</w:t>
      </w:r>
    </w:p>
    <w:p w14:paraId="2C67C42F" w14:textId="77777777" w:rsidR="00247B4E" w:rsidRDefault="00000000">
      <w:pPr>
        <w:spacing w:after="120"/>
      </w:pPr>
      <w:r>
        <w:t>Sales are fairly well spread, but Clothing, Accessories and Kitchen carry the business. These three should get priority for stock and promotion, while Outdoors and Furniture need a plan to lift sales or improve margins.</w:t>
      </w:r>
    </w:p>
    <w:p w14:paraId="23DE0AD4" w14:textId="77777777" w:rsidR="00247B4E" w:rsidRDefault="00000000">
      <w:pPr>
        <w:pStyle w:val="Heading1"/>
      </w:pPr>
      <w:r>
        <w:lastRenderedPageBreak/>
        <w:t>6. Monthly Sales Trend Analysis</w:t>
      </w:r>
    </w:p>
    <w:p w14:paraId="185232FF" w14:textId="77777777" w:rsidR="00247B4E" w:rsidRDefault="00000000">
      <w:pPr>
        <w:keepNext/>
        <w:spacing w:before="80" w:after="60"/>
        <w:jc w:val="center"/>
      </w:pPr>
      <w:r>
        <w:rPr>
          <w:noProof/>
        </w:rPr>
        <w:drawing>
          <wp:inline distT="0" distB="0" distL="0" distR="0" wp14:anchorId="44E27348" wp14:editId="3E6D7C4E">
            <wp:extent cx="4476750" cy="2590800"/>
            <wp:effectExtent l="0" t="0" r="0" b="0"/>
            <wp:docPr id="925418742" name="Figure 4: Total Sales by Month" descr="Figure 4: Total Sales by Month" title="Figure 4: Total Sales by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590800"/>
                    </a:xfrm>
                    <a:prstGeom prst="rect">
                      <a:avLst/>
                    </a:prstGeom>
                  </pic:spPr>
                </pic:pic>
              </a:graphicData>
            </a:graphic>
          </wp:inline>
        </w:drawing>
      </w:r>
    </w:p>
    <w:p w14:paraId="247B1B28" w14:textId="77777777" w:rsidR="00247B4E" w:rsidRDefault="00000000">
      <w:pPr>
        <w:spacing w:after="200"/>
        <w:jc w:val="center"/>
      </w:pPr>
      <w:r>
        <w:rPr>
          <w:i/>
          <w:iCs/>
          <w:color w:val="444444"/>
          <w:sz w:val="20"/>
          <w:szCs w:val="20"/>
        </w:rPr>
        <w:t>Figure 4: Total Sales by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47B4E" w14:paraId="5A37BB3A"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21CDA20D" w14:textId="77777777" w:rsidR="00247B4E" w:rsidRDefault="00000000">
            <w:r>
              <w:rPr>
                <w:b/>
                <w:bCs/>
              </w:rPr>
              <w:t>Item</w:t>
            </w:r>
          </w:p>
        </w:tc>
        <w:tc>
          <w:tcPr>
            <w:tcW w:w="65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68CEA25D" w14:textId="77777777" w:rsidR="00247B4E" w:rsidRDefault="00000000">
            <w:r>
              <w:rPr>
                <w:b/>
                <w:bCs/>
              </w:rPr>
              <w:t>Observation</w:t>
            </w:r>
          </w:p>
        </w:tc>
      </w:tr>
      <w:tr w:rsidR="00247B4E" w14:paraId="7CDF1D98"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167A10" w14:textId="77777777" w:rsidR="00247B4E" w:rsidRDefault="00000000">
            <w:r>
              <w:t>Highest month</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455710F" w14:textId="77777777" w:rsidR="00247B4E" w:rsidRDefault="00000000">
            <w:r>
              <w:t>December, at about 6.19M.</w:t>
            </w:r>
          </w:p>
        </w:tc>
      </w:tr>
      <w:tr w:rsidR="00247B4E" w14:paraId="24E23345"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67F458F" w14:textId="77777777" w:rsidR="00247B4E" w:rsidRDefault="00000000">
            <w:r>
              <w:t>Lowest month</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B9C43CF" w14:textId="77777777" w:rsidR="00247B4E" w:rsidRDefault="00000000">
            <w:r>
              <w:t>February, at about 5.60M.</w:t>
            </w:r>
          </w:p>
        </w:tc>
      </w:tr>
      <w:tr w:rsidR="00247B4E" w14:paraId="5106824B"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4D59418" w14:textId="77777777" w:rsidR="00247B4E" w:rsidRDefault="00000000">
            <w:r>
              <w:t>Overall pattern</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09F0EC5" w14:textId="77777777" w:rsidR="00247B4E" w:rsidRDefault="00000000">
            <w:r>
              <w:t>Sales are very stable. Every month falls between about 5.6M and 6.2M, within roughly ±5% of the monthly average of about 5.89M (70.64M ÷ 12). Months are shown in order of sales, so the line slopes downward from December to February by design.</w:t>
            </w:r>
          </w:p>
        </w:tc>
      </w:tr>
      <w:tr w:rsidR="00247B4E" w14:paraId="5304A982"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1C15237" w14:textId="77777777" w:rsidR="00247B4E" w:rsidRDefault="00000000">
            <w:r>
              <w:t>Major fluctuations</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07BA8B9" w14:textId="77777777" w:rsidR="00247B4E" w:rsidRDefault="00000000">
            <w:r>
              <w:t>There is no sharp spike or drop. The gap between best and worst month is about 0.59M, or about 10%. May (6.06M) and January (6.05M) are the next highest after December.</w:t>
            </w:r>
          </w:p>
        </w:tc>
      </w:tr>
    </w:tbl>
    <w:p w14:paraId="74E7CB25" w14:textId="77777777" w:rsidR="00247B4E" w:rsidRDefault="00247B4E">
      <w:pPr>
        <w:spacing w:after="120"/>
      </w:pPr>
    </w:p>
    <w:p w14:paraId="7B69525C" w14:textId="77777777" w:rsidR="00247B4E" w:rsidRDefault="00000000">
      <w:pPr>
        <w:spacing w:after="120"/>
      </w:pPr>
      <w:r>
        <w:rPr>
          <w:i/>
          <w:iCs/>
          <w:color w:val="666666"/>
          <w:sz w:val="20"/>
          <w:szCs w:val="20"/>
        </w:rPr>
        <w:t>Note: the figures cover 2018–2024 combined. The vertical axis starts at 5.6M, which makes the differences between months look larger than they really are.</w:t>
      </w:r>
    </w:p>
    <w:p w14:paraId="12898072" w14:textId="77777777" w:rsidR="00247B4E" w:rsidRDefault="00000000">
      <w:pPr>
        <w:keepNext/>
        <w:spacing w:after="120"/>
        <w:rPr>
          <w:b/>
          <w:bCs/>
        </w:rPr>
      </w:pPr>
      <w:r>
        <w:rPr>
          <w:b/>
          <w:bCs/>
        </w:rPr>
        <w:t>Key Insight</w:t>
      </w:r>
    </w:p>
    <w:p w14:paraId="401153FB" w14:textId="77777777" w:rsidR="00247B4E" w:rsidRDefault="00000000">
      <w:pPr>
        <w:spacing w:after="120"/>
      </w:pPr>
      <w:r>
        <w:t>Demand is steady all year with only a mild peak in December. There is no strong seasonality, so inventory and staffing can be planned evenly, with a small increase for December.</w:t>
      </w:r>
    </w:p>
    <w:p w14:paraId="73CF915B" w14:textId="77777777" w:rsidR="00247B4E" w:rsidRDefault="00000000">
      <w:pPr>
        <w:pStyle w:val="Heading1"/>
      </w:pPr>
      <w:r>
        <w:t>7. Regional / Filter-Based Analysis</w:t>
      </w:r>
    </w:p>
    <w:p w14:paraId="7D0853B4" w14:textId="77777777" w:rsidR="00247B4E" w:rsidRDefault="00000000">
      <w:pPr>
        <w:spacing w:after="120"/>
      </w:pPr>
      <w:r>
        <w:t>The dashboard uses a Region slicer, so selecting a region recalculates every KPI card, chart and table for that region. The donut chart below shows how total sales are shared across the five regions.</w:t>
      </w:r>
    </w:p>
    <w:p w14:paraId="43802623" w14:textId="77777777" w:rsidR="00247B4E" w:rsidRDefault="00000000">
      <w:pPr>
        <w:keepNext/>
        <w:spacing w:before="80" w:after="60"/>
        <w:jc w:val="center"/>
      </w:pPr>
      <w:r>
        <w:rPr>
          <w:noProof/>
        </w:rPr>
        <w:lastRenderedPageBreak/>
        <w:drawing>
          <wp:inline distT="0" distB="0" distL="0" distR="0" wp14:anchorId="09468C70" wp14:editId="72865ED4">
            <wp:extent cx="4476750" cy="3181350"/>
            <wp:effectExtent l="0" t="0" r="0" b="0"/>
            <wp:docPr id="178891591" name="Figure 5: Total Sales by Region" descr="Figure 5: Total Sales by Region" title="Figure 5: Total Sales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181350"/>
                    </a:xfrm>
                    <a:prstGeom prst="rect">
                      <a:avLst/>
                    </a:prstGeom>
                  </pic:spPr>
                </pic:pic>
              </a:graphicData>
            </a:graphic>
          </wp:inline>
        </w:drawing>
      </w:r>
    </w:p>
    <w:p w14:paraId="2643EF66" w14:textId="77777777" w:rsidR="00247B4E" w:rsidRDefault="00000000">
      <w:pPr>
        <w:spacing w:after="200"/>
        <w:jc w:val="center"/>
      </w:pPr>
      <w:r>
        <w:rPr>
          <w:i/>
          <w:iCs/>
          <w:color w:val="444444"/>
          <w:sz w:val="20"/>
          <w:szCs w:val="20"/>
        </w:rPr>
        <w:t>Figure 5: Total Sales by Region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30"/>
        <w:gridCol w:w="3930"/>
      </w:tblGrid>
      <w:tr w:rsidR="00247B4E" w14:paraId="2669F02C"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743D800" w14:textId="77777777" w:rsidR="00247B4E" w:rsidRDefault="00000000">
            <w:r>
              <w:rPr>
                <w:b/>
                <w:bCs/>
              </w:rPr>
              <w:t>Region</w:t>
            </w:r>
          </w:p>
        </w:tc>
        <w:tc>
          <w:tcPr>
            <w:tcW w:w="393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20C23777" w14:textId="77777777" w:rsidR="00247B4E" w:rsidRDefault="00000000">
            <w:r>
              <w:rPr>
                <w:b/>
                <w:bCs/>
              </w:rPr>
              <w:t>Major Observation</w:t>
            </w:r>
          </w:p>
        </w:tc>
        <w:tc>
          <w:tcPr>
            <w:tcW w:w="393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55D6A44D" w14:textId="77777777" w:rsidR="00247B4E" w:rsidRDefault="00000000">
            <w:r>
              <w:rPr>
                <w:b/>
                <w:bCs/>
              </w:rPr>
              <w:t>Business Insight</w:t>
            </w:r>
          </w:p>
        </w:tc>
      </w:tr>
      <w:tr w:rsidR="00247B4E" w14:paraId="5D767FDF"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2F856D" w14:textId="77777777" w:rsidR="00247B4E" w:rsidRDefault="00000000">
            <w:r>
              <w:t>Central</w:t>
            </w:r>
          </w:p>
        </w:tc>
        <w:tc>
          <w:tcPr>
            <w:tcW w:w="393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F1E7E57" w14:textId="77777777" w:rsidR="00247B4E" w:rsidRDefault="00000000">
            <w:r>
              <w:t>Highest sales: 14.29M (20.23% of total).</w:t>
            </w:r>
          </w:p>
        </w:tc>
        <w:tc>
          <w:tcPr>
            <w:tcW w:w="393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FE19DFC" w14:textId="77777777" w:rsidR="00247B4E" w:rsidRDefault="00000000">
            <w:r>
              <w:t>Slightly the strongest region, but only marginally ahead of the others.</w:t>
            </w:r>
          </w:p>
        </w:tc>
      </w:tr>
      <w:tr w:rsidR="00247B4E" w14:paraId="22138F03"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614781D" w14:textId="77777777" w:rsidR="00247B4E" w:rsidRDefault="00000000">
            <w:r>
              <w:t>South</w:t>
            </w:r>
          </w:p>
        </w:tc>
        <w:tc>
          <w:tcPr>
            <w:tcW w:w="393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A50ABCD" w14:textId="77777777" w:rsidR="00247B4E" w:rsidRDefault="00000000">
            <w:r>
              <w:t>14.16M (20.04%).</w:t>
            </w:r>
          </w:p>
        </w:tc>
        <w:tc>
          <w:tcPr>
            <w:tcW w:w="393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3DBCB51" w14:textId="77777777" w:rsidR="00247B4E" w:rsidRDefault="00000000">
            <w:r>
              <w:t>A strong, stable contributor to total sales.</w:t>
            </w:r>
          </w:p>
        </w:tc>
      </w:tr>
      <w:tr w:rsidR="00247B4E" w14:paraId="4A343B57"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621C7C" w14:textId="77777777" w:rsidR="00247B4E" w:rsidRDefault="00000000">
            <w:r>
              <w:t>West</w:t>
            </w:r>
          </w:p>
        </w:tc>
        <w:tc>
          <w:tcPr>
            <w:tcW w:w="393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5EBBC4E" w14:textId="77777777" w:rsidR="00247B4E" w:rsidRDefault="00000000">
            <w:r>
              <w:t>14.10M (19.96%).</w:t>
            </w:r>
          </w:p>
        </w:tc>
        <w:tc>
          <w:tcPr>
            <w:tcW w:w="393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FA3CE74" w14:textId="77777777" w:rsidR="00247B4E" w:rsidRDefault="00000000">
            <w:r>
              <w:t>Performs at the national average level of about 20%.</w:t>
            </w:r>
          </w:p>
        </w:tc>
      </w:tr>
      <w:tr w:rsidR="00247B4E" w14:paraId="3B0FAD81"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0D5548B" w14:textId="77777777" w:rsidR="00247B4E" w:rsidRDefault="00000000">
            <w:r>
              <w:t>North</w:t>
            </w:r>
          </w:p>
        </w:tc>
        <w:tc>
          <w:tcPr>
            <w:tcW w:w="393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3192D78" w14:textId="77777777" w:rsidR="00247B4E" w:rsidRDefault="00000000">
            <w:r>
              <w:t>14.07M (19.92%).</w:t>
            </w:r>
          </w:p>
        </w:tc>
        <w:tc>
          <w:tcPr>
            <w:tcW w:w="393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7F20753" w14:textId="77777777" w:rsidR="00247B4E" w:rsidRDefault="00000000">
            <w:r>
              <w:t>Almost identical to West; no sign of under-performance.</w:t>
            </w:r>
          </w:p>
        </w:tc>
      </w:tr>
      <w:tr w:rsidR="00247B4E" w14:paraId="0098089C"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800A19" w14:textId="77777777" w:rsidR="00247B4E" w:rsidRDefault="00000000">
            <w:r>
              <w:t>East</w:t>
            </w:r>
          </w:p>
        </w:tc>
        <w:tc>
          <w:tcPr>
            <w:tcW w:w="393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21051ED" w14:textId="77777777" w:rsidR="00247B4E" w:rsidRDefault="00000000">
            <w:r>
              <w:t>Lowest sales: 14.02M (19.85%).</w:t>
            </w:r>
          </w:p>
        </w:tc>
        <w:tc>
          <w:tcPr>
            <w:tcW w:w="393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723B9B5" w14:textId="77777777" w:rsidR="00247B4E" w:rsidRDefault="00000000">
            <w:r>
              <w:t>Only 0.27M (about 1.9%) behind Central, so there is little room to call it weak.</w:t>
            </w:r>
          </w:p>
        </w:tc>
      </w:tr>
    </w:tbl>
    <w:p w14:paraId="638EF075" w14:textId="77777777" w:rsidR="00247B4E" w:rsidRDefault="00247B4E">
      <w:pPr>
        <w:spacing w:after="120"/>
      </w:pPr>
    </w:p>
    <w:p w14:paraId="7DABA3A6" w14:textId="77777777" w:rsidR="00247B4E" w:rsidRDefault="00000000">
      <w:pPr>
        <w:spacing w:after="120"/>
        <w:rPr>
          <w:b/>
          <w:bCs/>
        </w:rPr>
      </w:pPr>
      <w:r>
        <w:rPr>
          <w:b/>
          <w:bCs/>
        </w:rPr>
        <w:t>Effect of the filters</w:t>
      </w:r>
    </w:p>
    <w:p w14:paraId="3CB2193B" w14:textId="77777777" w:rsidR="00247B4E" w:rsidRDefault="00000000">
      <w:pPr>
        <w:pStyle w:val="ListParagraph"/>
        <w:numPr>
          <w:ilvl w:val="0"/>
          <w:numId w:val="2"/>
        </w:numPr>
      </w:pPr>
      <w:r>
        <w:rPr>
          <w:b/>
          <w:bCs/>
        </w:rPr>
        <w:t>KPI changes:</w:t>
      </w:r>
      <w:r>
        <w:t xml:space="preserve"> each region contributes about one-fifth of sales, so when a region is selected the KPI cards fall to roughly 20% of the totals.</w:t>
      </w:r>
    </w:p>
    <w:p w14:paraId="177EC514" w14:textId="77777777" w:rsidR="00247B4E" w:rsidRDefault="00000000">
      <w:pPr>
        <w:pStyle w:val="ListParagraph"/>
        <w:numPr>
          <w:ilvl w:val="0"/>
          <w:numId w:val="2"/>
        </w:numPr>
      </w:pPr>
      <w:r>
        <w:rPr>
          <w:b/>
          <w:bCs/>
        </w:rPr>
        <w:t>Category changes:</w:t>
      </w:r>
      <w:r>
        <w:t xml:space="preserve"> the category chart shows that region's own category mix, which shows where it over- or under-sells compared with the national picture.</w:t>
      </w:r>
    </w:p>
    <w:p w14:paraId="755B3F2B" w14:textId="77777777" w:rsidR="00247B4E" w:rsidRDefault="00000000">
      <w:pPr>
        <w:pStyle w:val="ListParagraph"/>
        <w:numPr>
          <w:ilvl w:val="0"/>
          <w:numId w:val="2"/>
        </w:numPr>
      </w:pPr>
      <w:r>
        <w:rPr>
          <w:b/>
          <w:bCs/>
        </w:rPr>
        <w:t>Monthly and employee changes:</w:t>
      </w:r>
      <w:r>
        <w:t xml:space="preserve"> the monthly line and the employee bars recalculate for the selected region, showing local seasonality and which employees drive that region.</w:t>
      </w:r>
    </w:p>
    <w:p w14:paraId="48934995" w14:textId="77777777" w:rsidR="00247B4E" w:rsidRDefault="00000000">
      <w:pPr>
        <w:spacing w:after="120"/>
      </w:pPr>
      <w:r>
        <w:rPr>
          <w:i/>
          <w:iCs/>
          <w:color w:val="666666"/>
          <w:sz w:val="20"/>
          <w:szCs w:val="20"/>
        </w:rPr>
        <w:t>Screenshots of the dashboard with each individual region selected were not available when this report was written, so the filtered KPI values are described rather than quoted.</w:t>
      </w:r>
    </w:p>
    <w:p w14:paraId="557AC7CC" w14:textId="77777777" w:rsidR="00247B4E" w:rsidRDefault="00000000">
      <w:pPr>
        <w:keepNext/>
        <w:spacing w:after="120"/>
        <w:rPr>
          <w:b/>
          <w:bCs/>
        </w:rPr>
      </w:pPr>
      <w:r>
        <w:rPr>
          <w:b/>
          <w:bCs/>
        </w:rPr>
        <w:lastRenderedPageBreak/>
        <w:t>Key Insight</w:t>
      </w:r>
    </w:p>
    <w:p w14:paraId="624FC1D0" w14:textId="77777777" w:rsidR="00247B4E" w:rsidRDefault="00000000">
      <w:pPr>
        <w:spacing w:after="120"/>
      </w:pPr>
      <w:r>
        <w:t>Sales are almost perfectly balanced across the five regions (the gap between best and worst is under 2%). The business is not dependent on any single region, so growth is more likely to come from improving category mix and margins inside each region than from shifting focus between regions.</w:t>
      </w:r>
    </w:p>
    <w:p w14:paraId="28CB2733" w14:textId="77777777" w:rsidR="00247B4E" w:rsidRDefault="00000000">
      <w:pPr>
        <w:pStyle w:val="Heading1"/>
      </w:pPr>
      <w:r>
        <w:t>8. Employee Performance Analysis</w:t>
      </w:r>
    </w:p>
    <w:p w14:paraId="14AB92D1" w14:textId="77777777" w:rsidR="00247B4E" w:rsidRDefault="00000000">
      <w:pPr>
        <w:keepNext/>
        <w:spacing w:before="80" w:after="60"/>
        <w:jc w:val="center"/>
      </w:pPr>
      <w:r>
        <w:rPr>
          <w:noProof/>
        </w:rPr>
        <w:drawing>
          <wp:inline distT="0" distB="0" distL="0" distR="0" wp14:anchorId="27F0E96C" wp14:editId="60379831">
            <wp:extent cx="3810000" cy="2819400"/>
            <wp:effectExtent l="0" t="0" r="0" b="0"/>
            <wp:docPr id="680441452" name="Figure 6: Total Profit by Employee" descr="Figure 6: Total Profit by Employee" title="Figure 6: Total Profit by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819400"/>
                    </a:xfrm>
                    <a:prstGeom prst="rect">
                      <a:avLst/>
                    </a:prstGeom>
                  </pic:spPr>
                </pic:pic>
              </a:graphicData>
            </a:graphic>
          </wp:inline>
        </w:drawing>
      </w:r>
    </w:p>
    <w:p w14:paraId="152C13C0" w14:textId="77777777" w:rsidR="00247B4E" w:rsidRDefault="00000000">
      <w:pPr>
        <w:spacing w:after="200"/>
        <w:jc w:val="center"/>
      </w:pPr>
      <w:r>
        <w:rPr>
          <w:i/>
          <w:iCs/>
          <w:color w:val="444444"/>
          <w:sz w:val="20"/>
          <w:szCs w:val="20"/>
        </w:rPr>
        <w:t>Figure 6: Total Profit by Employee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47B4E" w14:paraId="71412C5F"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56FE6C96" w14:textId="77777777" w:rsidR="00247B4E" w:rsidRDefault="00000000">
            <w:r>
              <w:rPr>
                <w:b/>
                <w:bCs/>
              </w:rPr>
              <w:t>Item</w:t>
            </w:r>
          </w:p>
        </w:tc>
        <w:tc>
          <w:tcPr>
            <w:tcW w:w="65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998AD66" w14:textId="77777777" w:rsidR="00247B4E" w:rsidRDefault="00000000">
            <w:r>
              <w:rPr>
                <w:b/>
                <w:bCs/>
              </w:rPr>
              <w:t>Observation</w:t>
            </w:r>
          </w:p>
        </w:tc>
      </w:tr>
      <w:tr w:rsidR="00247B4E" w14:paraId="5D6A75FD"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501E56" w14:textId="77777777" w:rsidR="00247B4E" w:rsidRDefault="00000000">
            <w:r>
              <w:t>Highest-performing employee</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8A8C3C0" w14:textId="77777777" w:rsidR="00247B4E" w:rsidRDefault="00000000">
            <w:r>
              <w:t>Khaled Hassan, at about 1.0M in profit. Omar El-Sayed, Hassan El-Sayed, Ahmed Ibrahim and John Smith are at the same level (about 1.0M each).</w:t>
            </w:r>
          </w:p>
        </w:tc>
      </w:tr>
      <w:tr w:rsidR="00247B4E" w14:paraId="0DFA02EE"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83D5190" w14:textId="77777777" w:rsidR="00247B4E" w:rsidRDefault="00000000">
            <w:r>
              <w:t>Lowest-performing employee</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6ED54F" w14:textId="77777777" w:rsidR="00247B4E" w:rsidRDefault="00000000">
            <w:r>
              <w:t>Nora Garcia, at about 0.5M, is the lowest among the employees visible in the chart. The chart has a scroll bar, so further employees may sit below.</w:t>
            </w:r>
          </w:p>
        </w:tc>
      </w:tr>
      <w:tr w:rsidR="00247B4E" w14:paraId="63604BC1"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4F2606" w14:textId="77777777" w:rsidR="00247B4E" w:rsidRDefault="00000000">
            <w:r>
              <w:t>Difference between employees</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6728B8C" w14:textId="77777777" w:rsidR="00247B4E" w:rsidRDefault="00000000">
            <w:r>
              <w:t>Nora Garcia generates about half the profit of the top group (0.5M vs 1.0M), a gap of about 0.5M.</w:t>
            </w:r>
          </w:p>
        </w:tc>
      </w:tr>
      <w:tr w:rsidR="00247B4E" w14:paraId="0B62809C"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0471969" w14:textId="77777777" w:rsidR="00247B4E" w:rsidRDefault="00000000">
            <w:r>
              <w:t>Changes after applying filters</w:t>
            </w:r>
          </w:p>
        </w:tc>
        <w:tc>
          <w:tcPr>
            <w:tcW w:w="6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2A69302" w14:textId="77777777" w:rsidR="00247B4E" w:rsidRDefault="00000000">
            <w:r>
              <w:t>Choosing a Year, Region or Category recalculates the bars for that selection, so the ranking can change; this shows where individual employees perform best.</w:t>
            </w:r>
          </w:p>
        </w:tc>
      </w:tr>
    </w:tbl>
    <w:p w14:paraId="5CEC8A1B" w14:textId="77777777" w:rsidR="00247B4E" w:rsidRDefault="00247B4E">
      <w:pPr>
        <w:spacing w:after="120"/>
      </w:pPr>
    </w:p>
    <w:p w14:paraId="797B18CE" w14:textId="77777777" w:rsidR="00247B4E" w:rsidRDefault="00000000">
      <w:pPr>
        <w:keepNext/>
        <w:spacing w:after="120"/>
        <w:rPr>
          <w:b/>
          <w:bCs/>
        </w:rPr>
      </w:pPr>
      <w:r>
        <w:rPr>
          <w:b/>
          <w:bCs/>
        </w:rPr>
        <w:t>Key Insight</w:t>
      </w:r>
    </w:p>
    <w:p w14:paraId="02737F5D" w14:textId="77777777" w:rsidR="00247B4E" w:rsidRDefault="00000000">
      <w:pPr>
        <w:spacing w:after="120"/>
      </w:pPr>
      <w:r>
        <w:t>Five employees deliver almost identical profit of about 1.0M each, which shows a consistent top tier. Nora Garcia delivers about half, so there is a clear opportunity for coaching, territory or product-mix changes to bring lower performers up to the top group.</w:t>
      </w:r>
    </w:p>
    <w:p w14:paraId="23E9D540" w14:textId="77777777" w:rsidR="00247B4E" w:rsidRDefault="00000000">
      <w:pPr>
        <w:pStyle w:val="Heading1"/>
      </w:pPr>
      <w:r>
        <w:lastRenderedPageBreak/>
        <w:t>9. Business Insights</w:t>
      </w:r>
    </w:p>
    <w:p w14:paraId="5CA6B026" w14:textId="77777777" w:rsidR="00247B4E" w:rsidRDefault="00000000">
      <w:pPr>
        <w:spacing w:after="120"/>
        <w:rPr>
          <w:i/>
          <w:iCs/>
        </w:rPr>
      </w:pPr>
      <w:r>
        <w:rPr>
          <w:i/>
          <w:iCs/>
        </w:rPr>
        <w:t>Observation = what the data shows. Insight = what the observation means for the business.</w:t>
      </w:r>
    </w:p>
    <w:p w14:paraId="01C07F9E" w14:textId="77777777" w:rsidR="00247B4E" w:rsidRDefault="00000000">
      <w:pPr>
        <w:spacing w:after="120"/>
        <w:rPr>
          <w:b/>
          <w:bCs/>
        </w:rPr>
      </w:pPr>
      <w:r>
        <w:rPr>
          <w:b/>
          <w:bCs/>
        </w:rPr>
        <w:t>Insight 1: Strong, consistent profitability</w:t>
      </w:r>
    </w:p>
    <w:p w14:paraId="50EC93C2" w14:textId="77777777" w:rsidR="00247B4E" w:rsidRDefault="00000000">
      <w:pPr>
        <w:spacing w:after="120"/>
      </w:pPr>
      <w:r>
        <w:t>Observation: profit is 25.12M on 70.64M of sales, a margin of about 35.6%, and costs are about 64.4% of sales. Insight: the business is healthy, but every one-point reduction in cost ratio would add about 0.7M of profit, so cost control is the most direct way to increase profit.</w:t>
      </w:r>
    </w:p>
    <w:p w14:paraId="1EED5EA2" w14:textId="77777777" w:rsidR="00247B4E" w:rsidRDefault="00000000">
      <w:pPr>
        <w:spacing w:after="120"/>
        <w:rPr>
          <w:b/>
          <w:bCs/>
        </w:rPr>
      </w:pPr>
      <w:r>
        <w:rPr>
          <w:b/>
          <w:bCs/>
        </w:rPr>
        <w:t>Insight 2: Balanced across regions and months, concentrated in a few categories</w:t>
      </w:r>
    </w:p>
    <w:p w14:paraId="13543F93" w14:textId="77777777" w:rsidR="00247B4E" w:rsidRDefault="00000000">
      <w:pPr>
        <w:spacing w:after="120"/>
      </w:pPr>
      <w:r>
        <w:t>Observation: regions are all within about 20% ± 0.2% of sales, months are within about ±5% of average, but Clothing, Accessories and Kitchen make up about 57% of sales. Insight: the business is stable and low-risk from a location and seasonal point of view, and the main concentration risk sits in a small number of categories.</w:t>
      </w:r>
    </w:p>
    <w:p w14:paraId="2217B243" w14:textId="77777777" w:rsidR="00247B4E" w:rsidRDefault="00000000">
      <w:pPr>
        <w:spacing w:after="120"/>
        <w:rPr>
          <w:b/>
          <w:bCs/>
        </w:rPr>
      </w:pPr>
      <w:r>
        <w:rPr>
          <w:b/>
          <w:bCs/>
        </w:rPr>
        <w:t>Insight 3: Product margins vary widely even though volumes are similar</w:t>
      </w:r>
    </w:p>
    <w:p w14:paraId="021E6F3D" w14:textId="77777777" w:rsidR="00247B4E" w:rsidRDefault="00000000">
      <w:pPr>
        <w:spacing w:after="120"/>
      </w:pPr>
      <w:r>
        <w:t xml:space="preserve">Observation: in the product table, units sold are very similar (about 1,390 to 1,555 per product) but profit margins differ greatly. For </w:t>
      </w:r>
      <w:proofErr w:type="gramStart"/>
      <w:r>
        <w:t>example</w:t>
      </w:r>
      <w:proofErr w:type="gramEnd"/>
      <w:r>
        <w:t xml:space="preserve"> ACC-HEA-092 earns about 52% (433,505 profit on 834,341 sales), while ACC-CAS-055 earns only about 10% (11,427 on 112,782). Insight: product mix and pricing, rather than volume, drive profit, so promoting high-margin products and reviewing low-margin ones would raise profit without needing more sales.</w:t>
      </w:r>
    </w:p>
    <w:p w14:paraId="649E21CB" w14:textId="77777777" w:rsidR="00247B4E" w:rsidRDefault="00000000">
      <w:pPr>
        <w:pStyle w:val="Heading1"/>
      </w:pPr>
      <w:r>
        <w:t>10. Business Recommendations</w:t>
      </w:r>
    </w:p>
    <w:p w14:paraId="21835027" w14:textId="77777777" w:rsidR="00247B4E" w:rsidRDefault="00000000">
      <w:pPr>
        <w:pStyle w:val="ListParagraph"/>
        <w:numPr>
          <w:ilvl w:val="0"/>
          <w:numId w:val="3"/>
        </w:numPr>
        <w:spacing w:after="100"/>
      </w:pPr>
      <w:r>
        <w:rPr>
          <w:b/>
          <w:bCs/>
        </w:rPr>
        <w:t xml:space="preserve">Product category planning: </w:t>
      </w:r>
      <w:r>
        <w:t>Prioritise stock and promotions for Clothing, Accessories and Kitchen, and set growth targets for Outdoors and Furniture (for example bundles, seasonal campaigns or range reviews).</w:t>
      </w:r>
    </w:p>
    <w:p w14:paraId="45A6A5C2" w14:textId="77777777" w:rsidR="00247B4E" w:rsidRDefault="00000000">
      <w:pPr>
        <w:pStyle w:val="ListParagraph"/>
        <w:numPr>
          <w:ilvl w:val="0"/>
          <w:numId w:val="3"/>
        </w:numPr>
        <w:spacing w:after="100"/>
      </w:pPr>
      <w:r>
        <w:rPr>
          <w:b/>
          <w:bCs/>
        </w:rPr>
        <w:t xml:space="preserve">Inventory planning: </w:t>
      </w:r>
      <w:r>
        <w:t>Plan stock evenly through the year, with a modest increase ahead of December (the peak at about 6.19M) and no heavy build-up needed for the quieter months such as February.</w:t>
      </w:r>
    </w:p>
    <w:p w14:paraId="2531E928" w14:textId="77777777" w:rsidR="00247B4E" w:rsidRDefault="00000000">
      <w:pPr>
        <w:pStyle w:val="ListParagraph"/>
        <w:numPr>
          <w:ilvl w:val="0"/>
          <w:numId w:val="3"/>
        </w:numPr>
        <w:spacing w:after="100"/>
      </w:pPr>
      <w:r>
        <w:rPr>
          <w:b/>
          <w:bCs/>
        </w:rPr>
        <w:t xml:space="preserve">Regional strategy: </w:t>
      </w:r>
      <w:r>
        <w:t>Because all five regions contribute about 20% each, keep a balanced approach and use the Region slicer to find regional category gaps instead of moving resources between regions.</w:t>
      </w:r>
    </w:p>
    <w:p w14:paraId="06CA69AB" w14:textId="77777777" w:rsidR="00247B4E" w:rsidRDefault="00000000">
      <w:pPr>
        <w:pStyle w:val="ListParagraph"/>
        <w:numPr>
          <w:ilvl w:val="0"/>
          <w:numId w:val="3"/>
        </w:numPr>
        <w:spacing w:after="100"/>
      </w:pPr>
      <w:r>
        <w:rPr>
          <w:b/>
          <w:bCs/>
        </w:rPr>
        <w:t xml:space="preserve">Employee performance: </w:t>
      </w:r>
      <w:r>
        <w:t>Use the top group (about 1.0M profit each) as a benchmark, share their practices and give targeted coaching or support to lower performers such as Nora Garcia (about 0.5M).</w:t>
      </w:r>
    </w:p>
    <w:p w14:paraId="1E447933" w14:textId="77777777" w:rsidR="00247B4E" w:rsidRDefault="00000000">
      <w:pPr>
        <w:pStyle w:val="ListParagraph"/>
        <w:numPr>
          <w:ilvl w:val="0"/>
          <w:numId w:val="3"/>
        </w:numPr>
        <w:spacing w:after="100"/>
      </w:pPr>
      <w:r>
        <w:rPr>
          <w:b/>
          <w:bCs/>
        </w:rPr>
        <w:t xml:space="preserve">Margin and product management: </w:t>
      </w:r>
      <w:r>
        <w:t>Review products with low margins (such as ACC-CAS-055 at about 10%) for price increases or cost reduction, and promote high-margin products (such as ACC-HEA-092 at about 52%).</w:t>
      </w:r>
    </w:p>
    <w:p w14:paraId="43EA5638" w14:textId="77777777" w:rsidR="00247B4E" w:rsidRDefault="00000000">
      <w:pPr>
        <w:pStyle w:val="ListParagraph"/>
        <w:numPr>
          <w:ilvl w:val="0"/>
          <w:numId w:val="3"/>
        </w:numPr>
        <w:spacing w:after="100"/>
      </w:pPr>
      <w:r>
        <w:rPr>
          <w:b/>
          <w:bCs/>
        </w:rPr>
        <w:t xml:space="preserve">Customer targeting: </w:t>
      </w:r>
      <w:r>
        <w:t>With an average order value of about 706 and about 3 units per order, offer bundles and volume incentives to raise the average order value.</w:t>
      </w:r>
    </w:p>
    <w:p w14:paraId="0FFA8122" w14:textId="77777777" w:rsidR="00247B4E" w:rsidRDefault="00000000">
      <w:pPr>
        <w:pStyle w:val="Heading1"/>
      </w:pPr>
      <w:r>
        <w:lastRenderedPageBreak/>
        <w:t>11. Conclusion</w:t>
      </w:r>
    </w:p>
    <w:p w14:paraId="1838A037" w14:textId="77777777" w:rsidR="00247B4E" w:rsidRDefault="00000000">
      <w:pPr>
        <w:pStyle w:val="ListParagraph"/>
        <w:numPr>
          <w:ilvl w:val="0"/>
          <w:numId w:val="2"/>
        </w:numPr>
      </w:pPr>
      <w:r>
        <w:rPr>
          <w:b/>
          <w:bCs/>
        </w:rPr>
        <w:t>Overall dashboard findings:</w:t>
      </w:r>
      <w:r>
        <w:t xml:space="preserve"> the business generated 70.64M in sales and 25.12M in profit (about 35.6% margin) from 100K orders and 300K units, with results spread evenly across five regions and twelve months.</w:t>
      </w:r>
    </w:p>
    <w:p w14:paraId="4F670D8F" w14:textId="77777777" w:rsidR="00247B4E" w:rsidRDefault="00000000">
      <w:pPr>
        <w:pStyle w:val="ListParagraph"/>
        <w:numPr>
          <w:ilvl w:val="0"/>
          <w:numId w:val="2"/>
        </w:numPr>
      </w:pPr>
      <w:r>
        <w:rPr>
          <w:b/>
          <w:bCs/>
        </w:rPr>
        <w:t>Most important business insight:</w:t>
      </w:r>
      <w:r>
        <w:t xml:space="preserve"> profit is driven by product mix and margin differences, not by volume, because units sold per product are similar but margins range from about 10% to 52%.</w:t>
      </w:r>
    </w:p>
    <w:p w14:paraId="3F800DE7" w14:textId="77777777" w:rsidR="00247B4E" w:rsidRDefault="00000000">
      <w:pPr>
        <w:pStyle w:val="ListParagraph"/>
        <w:numPr>
          <w:ilvl w:val="0"/>
          <w:numId w:val="2"/>
        </w:numPr>
      </w:pPr>
      <w:r>
        <w:rPr>
          <w:b/>
          <w:bCs/>
        </w:rPr>
        <w:t>Key recommendation:</w:t>
      </w:r>
      <w:r>
        <w:t xml:space="preserve"> focus on margin improvement and on the three leading categories, while lifting the lower-performing employees and categories.</w:t>
      </w:r>
    </w:p>
    <w:p w14:paraId="2EA2206D" w14:textId="77777777" w:rsidR="00247B4E" w:rsidRDefault="00000000">
      <w:pPr>
        <w:pStyle w:val="ListParagraph"/>
        <w:numPr>
          <w:ilvl w:val="0"/>
          <w:numId w:val="2"/>
        </w:numPr>
      </w:pPr>
      <w:r>
        <w:rPr>
          <w:b/>
          <w:bCs/>
        </w:rPr>
        <w:t>How Power BI helped:</w:t>
      </w:r>
      <w:r>
        <w:t xml:space="preserve"> interactive slicers, cross-filtering visuals and DAX measures (Total Sales, Total Profit, Total Cost, Order Count and Average Sales) made it possible to explore sales by year, region and category quickly and to confirm that all figures reconcile.</w:t>
      </w:r>
    </w:p>
    <w:p w14:paraId="1CC2B058" w14:textId="77777777" w:rsidR="00247B4E" w:rsidRDefault="00000000">
      <w:r>
        <w:br w:type="page"/>
      </w:r>
    </w:p>
    <w:p w14:paraId="73F3E307" w14:textId="77777777" w:rsidR="00247B4E" w:rsidRDefault="00000000">
      <w:pPr>
        <w:pStyle w:val="Heading1"/>
      </w:pPr>
      <w:r>
        <w:lastRenderedPageBreak/>
        <w:t>Appendix: Data Validation</w:t>
      </w:r>
    </w:p>
    <w:p w14:paraId="6E59732F" w14:textId="77777777" w:rsidR="00247B4E" w:rsidRDefault="00000000">
      <w:pPr>
        <w:spacing w:after="120"/>
      </w:pPr>
      <w:r>
        <w:t>The "DAX Validation" page lists sales, quantity and profit by product. Its grand totals (70,635,711.87 in sales, 300,006 units and 25,116,018.03 in profit) match the KPI cards on the dashboard, confirming that the DAX measures are consistent.</w:t>
      </w:r>
    </w:p>
    <w:p w14:paraId="78A4C4C9" w14:textId="77777777" w:rsidR="00247B4E" w:rsidRDefault="00000000">
      <w:pPr>
        <w:keepNext/>
        <w:spacing w:before="80" w:after="60"/>
        <w:jc w:val="center"/>
      </w:pPr>
      <w:r>
        <w:rPr>
          <w:noProof/>
        </w:rPr>
        <w:drawing>
          <wp:inline distT="0" distB="0" distL="0" distR="0" wp14:anchorId="4FD68656" wp14:editId="73EC78B7">
            <wp:extent cx="3429000" cy="4895850"/>
            <wp:effectExtent l="0" t="0" r="0" b="0"/>
            <wp:docPr id="2017025216" name="Figure 7: DAX Validation page" descr="Figure 7: DAX Validation page" title="Figure 7: DAX Valid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4895850"/>
                    </a:xfrm>
                    <a:prstGeom prst="rect">
                      <a:avLst/>
                    </a:prstGeom>
                  </pic:spPr>
                </pic:pic>
              </a:graphicData>
            </a:graphic>
          </wp:inline>
        </w:drawing>
      </w:r>
    </w:p>
    <w:p w14:paraId="641E56D1" w14:textId="77777777" w:rsidR="00247B4E" w:rsidRDefault="00000000">
      <w:pPr>
        <w:spacing w:after="200"/>
        <w:jc w:val="center"/>
      </w:pPr>
      <w:r>
        <w:rPr>
          <w:i/>
          <w:iCs/>
          <w:color w:val="444444"/>
          <w:sz w:val="20"/>
          <w:szCs w:val="20"/>
        </w:rPr>
        <w:t>Figure 7: DAX Validation page</w:t>
      </w:r>
    </w:p>
    <w:sectPr w:rsidR="00247B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F1CCD"/>
    <w:multiLevelType w:val="hybridMultilevel"/>
    <w:tmpl w:val="270EB054"/>
    <w:lvl w:ilvl="0" w:tplc="1884C168">
      <w:start w:val="1"/>
      <w:numFmt w:val="bullet"/>
      <w:lvlText w:val="•"/>
      <w:lvlJc w:val="left"/>
      <w:pPr>
        <w:ind w:left="720" w:hanging="360"/>
      </w:pPr>
    </w:lvl>
    <w:lvl w:ilvl="1" w:tplc="2A0ECCAE">
      <w:numFmt w:val="decimal"/>
      <w:lvlText w:val=""/>
      <w:lvlJc w:val="left"/>
    </w:lvl>
    <w:lvl w:ilvl="2" w:tplc="BD447D80">
      <w:numFmt w:val="decimal"/>
      <w:lvlText w:val=""/>
      <w:lvlJc w:val="left"/>
    </w:lvl>
    <w:lvl w:ilvl="3" w:tplc="084815B8">
      <w:numFmt w:val="decimal"/>
      <w:lvlText w:val=""/>
      <w:lvlJc w:val="left"/>
    </w:lvl>
    <w:lvl w:ilvl="4" w:tplc="7E38C73C">
      <w:numFmt w:val="decimal"/>
      <w:lvlText w:val=""/>
      <w:lvlJc w:val="left"/>
    </w:lvl>
    <w:lvl w:ilvl="5" w:tplc="02ACC816">
      <w:numFmt w:val="decimal"/>
      <w:lvlText w:val=""/>
      <w:lvlJc w:val="left"/>
    </w:lvl>
    <w:lvl w:ilvl="6" w:tplc="755CC8A4">
      <w:numFmt w:val="decimal"/>
      <w:lvlText w:val=""/>
      <w:lvlJc w:val="left"/>
    </w:lvl>
    <w:lvl w:ilvl="7" w:tplc="F1E482D2">
      <w:numFmt w:val="decimal"/>
      <w:lvlText w:val=""/>
      <w:lvlJc w:val="left"/>
    </w:lvl>
    <w:lvl w:ilvl="8" w:tplc="319A42FC">
      <w:numFmt w:val="decimal"/>
      <w:lvlText w:val=""/>
      <w:lvlJc w:val="left"/>
    </w:lvl>
  </w:abstractNum>
  <w:abstractNum w:abstractNumId="1" w15:restartNumberingAfterBreak="0">
    <w:nsid w:val="1931127E"/>
    <w:multiLevelType w:val="hybridMultilevel"/>
    <w:tmpl w:val="92846868"/>
    <w:lvl w:ilvl="0" w:tplc="B7AA6310">
      <w:start w:val="1"/>
      <w:numFmt w:val="bullet"/>
      <w:lvlText w:val="●"/>
      <w:lvlJc w:val="left"/>
      <w:pPr>
        <w:ind w:left="720" w:hanging="360"/>
      </w:pPr>
    </w:lvl>
    <w:lvl w:ilvl="1" w:tplc="E2B01A22">
      <w:start w:val="1"/>
      <w:numFmt w:val="bullet"/>
      <w:lvlText w:val="○"/>
      <w:lvlJc w:val="left"/>
      <w:pPr>
        <w:ind w:left="1440" w:hanging="360"/>
      </w:pPr>
    </w:lvl>
    <w:lvl w:ilvl="2" w:tplc="ED8E19AC">
      <w:start w:val="1"/>
      <w:numFmt w:val="bullet"/>
      <w:lvlText w:val="■"/>
      <w:lvlJc w:val="left"/>
      <w:pPr>
        <w:ind w:left="2160" w:hanging="360"/>
      </w:pPr>
    </w:lvl>
    <w:lvl w:ilvl="3" w:tplc="3796C624">
      <w:start w:val="1"/>
      <w:numFmt w:val="bullet"/>
      <w:lvlText w:val="●"/>
      <w:lvlJc w:val="left"/>
      <w:pPr>
        <w:ind w:left="2880" w:hanging="360"/>
      </w:pPr>
    </w:lvl>
    <w:lvl w:ilvl="4" w:tplc="EAF0AA8A">
      <w:start w:val="1"/>
      <w:numFmt w:val="bullet"/>
      <w:lvlText w:val="○"/>
      <w:lvlJc w:val="left"/>
      <w:pPr>
        <w:ind w:left="3600" w:hanging="360"/>
      </w:pPr>
    </w:lvl>
    <w:lvl w:ilvl="5" w:tplc="DCC4CADE">
      <w:start w:val="1"/>
      <w:numFmt w:val="bullet"/>
      <w:lvlText w:val="■"/>
      <w:lvlJc w:val="left"/>
      <w:pPr>
        <w:ind w:left="4320" w:hanging="360"/>
      </w:pPr>
    </w:lvl>
    <w:lvl w:ilvl="6" w:tplc="50A40C46">
      <w:start w:val="1"/>
      <w:numFmt w:val="bullet"/>
      <w:lvlText w:val="●"/>
      <w:lvlJc w:val="left"/>
      <w:pPr>
        <w:ind w:left="5040" w:hanging="360"/>
      </w:pPr>
    </w:lvl>
    <w:lvl w:ilvl="7" w:tplc="3A80D49C">
      <w:start w:val="1"/>
      <w:numFmt w:val="bullet"/>
      <w:lvlText w:val="●"/>
      <w:lvlJc w:val="left"/>
      <w:pPr>
        <w:ind w:left="5760" w:hanging="360"/>
      </w:pPr>
    </w:lvl>
    <w:lvl w:ilvl="8" w:tplc="22DA6392">
      <w:start w:val="1"/>
      <w:numFmt w:val="bullet"/>
      <w:lvlText w:val="●"/>
      <w:lvlJc w:val="left"/>
      <w:pPr>
        <w:ind w:left="6480" w:hanging="360"/>
      </w:pPr>
    </w:lvl>
  </w:abstractNum>
  <w:abstractNum w:abstractNumId="2" w15:restartNumberingAfterBreak="0">
    <w:nsid w:val="29097074"/>
    <w:multiLevelType w:val="hybridMultilevel"/>
    <w:tmpl w:val="B52836F6"/>
    <w:lvl w:ilvl="0" w:tplc="DBF6F976">
      <w:start w:val="1"/>
      <w:numFmt w:val="decimal"/>
      <w:lvlText w:val="%1."/>
      <w:lvlJc w:val="left"/>
      <w:pPr>
        <w:ind w:left="720" w:hanging="360"/>
      </w:pPr>
    </w:lvl>
    <w:lvl w:ilvl="1" w:tplc="E74CF5F0">
      <w:numFmt w:val="decimal"/>
      <w:lvlText w:val=""/>
      <w:lvlJc w:val="left"/>
    </w:lvl>
    <w:lvl w:ilvl="2" w:tplc="92D6C500">
      <w:numFmt w:val="decimal"/>
      <w:lvlText w:val=""/>
      <w:lvlJc w:val="left"/>
    </w:lvl>
    <w:lvl w:ilvl="3" w:tplc="10F86C0C">
      <w:numFmt w:val="decimal"/>
      <w:lvlText w:val=""/>
      <w:lvlJc w:val="left"/>
    </w:lvl>
    <w:lvl w:ilvl="4" w:tplc="6CEE406A">
      <w:numFmt w:val="decimal"/>
      <w:lvlText w:val=""/>
      <w:lvlJc w:val="left"/>
    </w:lvl>
    <w:lvl w:ilvl="5" w:tplc="A258822A">
      <w:numFmt w:val="decimal"/>
      <w:lvlText w:val=""/>
      <w:lvlJc w:val="left"/>
    </w:lvl>
    <w:lvl w:ilvl="6" w:tplc="1FA4415A">
      <w:numFmt w:val="decimal"/>
      <w:lvlText w:val=""/>
      <w:lvlJc w:val="left"/>
    </w:lvl>
    <w:lvl w:ilvl="7" w:tplc="708E8AEE">
      <w:numFmt w:val="decimal"/>
      <w:lvlText w:val=""/>
      <w:lvlJc w:val="left"/>
    </w:lvl>
    <w:lvl w:ilvl="8" w:tplc="527E2010">
      <w:numFmt w:val="decimal"/>
      <w:lvlText w:val=""/>
      <w:lvlJc w:val="left"/>
    </w:lvl>
  </w:abstractNum>
  <w:num w:numId="1" w16cid:durableId="1430395301">
    <w:abstractNumId w:val="1"/>
    <w:lvlOverride w:ilvl="0">
      <w:startOverride w:val="1"/>
    </w:lvlOverride>
  </w:num>
  <w:num w:numId="2" w16cid:durableId="2107925015">
    <w:abstractNumId w:val="0"/>
    <w:lvlOverride w:ilvl="0">
      <w:startOverride w:val="1"/>
    </w:lvlOverride>
  </w:num>
  <w:num w:numId="3" w16cid:durableId="1164873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B4E"/>
    <w:rsid w:val="0011721E"/>
    <w:rsid w:val="00247B4E"/>
    <w:rsid w:val="00687C8B"/>
    <w:rsid w:val="007277DC"/>
    <w:rsid w:val="00767640"/>
    <w:rsid w:val="007935A8"/>
    <w:rsid w:val="007A1EA9"/>
    <w:rsid w:val="00844CDB"/>
    <w:rsid w:val="009F6EAF"/>
    <w:rsid w:val="00B31CC6"/>
    <w:rsid w:val="00B4475B"/>
    <w:rsid w:val="00B558A0"/>
    <w:rsid w:val="00B710E0"/>
    <w:rsid w:val="00C07C72"/>
    <w:rsid w:val="00C772A9"/>
    <w:rsid w:val="00D54522"/>
    <w:rsid w:val="00D675F4"/>
    <w:rsid w:val="00D965A3"/>
    <w:rsid w:val="00E71EC6"/>
    <w:rsid w:val="00F0499E"/>
    <w:rsid w:val="00FC0A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42968"/>
  <w15:docId w15:val="{5819E5CF-D6C5-4452-94F9-62BD5A683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40"/>
      <w:outlineLvl w:val="0"/>
    </w:pPr>
    <w:rPr>
      <w:b/>
      <w:bCs/>
      <w:color w:val="1F3864"/>
      <w:sz w:val="30"/>
      <w:szCs w:val="30"/>
    </w:rPr>
  </w:style>
  <w:style w:type="paragraph" w:styleId="Heading2">
    <w:name w:val="heading 2"/>
    <w:uiPriority w:val="9"/>
    <w:unhideWhenUsed/>
    <w:qFormat/>
    <w:pPr>
      <w:keepNext/>
      <w:spacing w:before="20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1AFCD-E966-4AA3-8BE8-A3E86BC86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12</Pages>
  <Words>1729</Words>
  <Characters>9857</Characters>
  <Application>Microsoft Office Word</Application>
  <DocSecurity>0</DocSecurity>
  <Lines>82</Lines>
  <Paragraphs>23</Paragraphs>
  <ScaleCrop>false</ScaleCrop>
  <Company/>
  <LinksUpToDate>false</LinksUpToDate>
  <CharactersWithSpaces>11563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Deenah .N</cp:lastModifiedBy>
  <cp:revision>20</cp:revision>
  <dcterms:created xsi:type="dcterms:W3CDTF">2026-10-05T07:44:00Z</dcterms:created>
  <dcterms:modified xsi:type="dcterms:W3CDTF">2026-10-05T08:14:00Z</dcterms:modified>
</cp:coreProperties>
</file>