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A9" w:rsidRPr="00273B96" w:rsidRDefault="009B3DA9" w:rsidP="009B3DA9">
      <w:pPr>
        <w:ind w:left="-170"/>
        <w:jc w:val="center"/>
        <w:rPr>
          <w:sz w:val="28"/>
          <w:szCs w:val="28"/>
          <w:lang w:val="ro-RO"/>
        </w:rPr>
      </w:pPr>
      <w:proofErr w:type="spellStart"/>
      <w:r w:rsidRPr="008B3128">
        <w:rPr>
          <w:sz w:val="28"/>
          <w:szCs w:val="28"/>
        </w:rPr>
        <w:t>Ministerul</w:t>
      </w:r>
      <w:proofErr w:type="spellEnd"/>
      <w:r w:rsidRPr="008B3128">
        <w:rPr>
          <w:sz w:val="28"/>
          <w:szCs w:val="28"/>
        </w:rPr>
        <w:t xml:space="preserve"> </w:t>
      </w:r>
      <w:r w:rsidRPr="00273B96">
        <w:rPr>
          <w:sz w:val="28"/>
          <w:szCs w:val="28"/>
          <w:lang w:val="ro-RO"/>
        </w:rPr>
        <w:t>Educaţiei din Republica Moldova</w:t>
      </w:r>
    </w:p>
    <w:p w:rsidR="009B3DA9" w:rsidRPr="008B3128" w:rsidRDefault="009B3DA9" w:rsidP="009B3DA9">
      <w:pPr>
        <w:ind w:left="-170"/>
        <w:jc w:val="center"/>
        <w:rPr>
          <w:sz w:val="28"/>
          <w:szCs w:val="28"/>
        </w:rPr>
      </w:pPr>
      <w:proofErr w:type="gramStart"/>
      <w:r w:rsidRPr="008B3128">
        <w:rPr>
          <w:sz w:val="28"/>
          <w:szCs w:val="28"/>
        </w:rPr>
        <w:t xml:space="preserve">UNIVERSITATEA  </w:t>
      </w:r>
      <w:r w:rsidRPr="00273B96">
        <w:rPr>
          <w:sz w:val="28"/>
          <w:szCs w:val="28"/>
          <w:lang w:val="ro-RO"/>
        </w:rPr>
        <w:t>TEHNICĂ</w:t>
      </w:r>
      <w:proofErr w:type="gramEnd"/>
      <w:r w:rsidRPr="00273B96">
        <w:rPr>
          <w:sz w:val="28"/>
          <w:szCs w:val="28"/>
          <w:lang w:val="ro-RO"/>
        </w:rPr>
        <w:t xml:space="preserve"> DE STAT</w:t>
      </w:r>
      <w:r w:rsidRPr="008B3128">
        <w:rPr>
          <w:sz w:val="28"/>
          <w:szCs w:val="28"/>
        </w:rPr>
        <w:t xml:space="preserve"> DIN  MOLDOVA</w:t>
      </w:r>
    </w:p>
    <w:p w:rsidR="009B3DA9" w:rsidRPr="008B3128" w:rsidRDefault="009B3DA9" w:rsidP="009B3DA9">
      <w:pPr>
        <w:ind w:left="-170"/>
        <w:jc w:val="center"/>
        <w:rPr>
          <w:sz w:val="28"/>
          <w:szCs w:val="28"/>
        </w:rPr>
      </w:pPr>
    </w:p>
    <w:p w:rsidR="009B3DA9" w:rsidRPr="00273B96" w:rsidRDefault="009B3DA9" w:rsidP="009B3DA9">
      <w:pPr>
        <w:ind w:left="-170"/>
        <w:jc w:val="center"/>
        <w:rPr>
          <w:sz w:val="28"/>
          <w:szCs w:val="28"/>
          <w:lang w:val="ro-RO"/>
        </w:rPr>
      </w:pPr>
      <w:r w:rsidRPr="00273B96">
        <w:rPr>
          <w:sz w:val="28"/>
          <w:szCs w:val="28"/>
          <w:lang w:val="ro-RO"/>
        </w:rPr>
        <w:t>Catedra Ştiinţe Socio – Umaniste</w:t>
      </w:r>
    </w:p>
    <w:p w:rsidR="009B3DA9" w:rsidRDefault="009B3DA9" w:rsidP="009B3DA9">
      <w:pPr>
        <w:ind w:left="-170"/>
        <w:jc w:val="center"/>
      </w:pPr>
    </w:p>
    <w:p w:rsidR="009B3DA9" w:rsidRDefault="009B3DA9" w:rsidP="009B3DA9">
      <w:pPr>
        <w:ind w:left="-170"/>
        <w:jc w:val="center"/>
      </w:pPr>
    </w:p>
    <w:p w:rsidR="009B3DA9" w:rsidRDefault="009B3DA9" w:rsidP="009B3DA9">
      <w:pPr>
        <w:ind w:left="-170"/>
        <w:jc w:val="center"/>
      </w:pPr>
    </w:p>
    <w:p w:rsidR="009B3DA9" w:rsidRDefault="009B3DA9" w:rsidP="009B3DA9"/>
    <w:p w:rsidR="009B3DA9" w:rsidRDefault="009B3DA9" w:rsidP="009B3DA9">
      <w:pPr>
        <w:jc w:val="center"/>
        <w:rPr>
          <w:b/>
          <w:sz w:val="112"/>
          <w:szCs w:val="112"/>
          <w:u w:val="single"/>
        </w:rPr>
      </w:pPr>
      <w:r w:rsidRPr="00DA63EA">
        <w:rPr>
          <w:b/>
          <w:sz w:val="112"/>
          <w:szCs w:val="112"/>
          <w:u w:val="single"/>
        </w:rPr>
        <w:t>REFERAT</w:t>
      </w:r>
    </w:p>
    <w:p w:rsidR="009B3DA9" w:rsidRPr="00DA63EA" w:rsidRDefault="009B3DA9" w:rsidP="009B3DA9">
      <w:pPr>
        <w:jc w:val="center"/>
        <w:rPr>
          <w:b/>
          <w:sz w:val="112"/>
          <w:szCs w:val="112"/>
          <w:u w:val="single"/>
        </w:rPr>
      </w:pPr>
    </w:p>
    <w:p w:rsidR="009B3DA9" w:rsidRPr="00273B96" w:rsidRDefault="009B3DA9" w:rsidP="009B3DA9">
      <w:pPr>
        <w:jc w:val="center"/>
        <w:rPr>
          <w:bCs/>
          <w:sz w:val="28"/>
          <w:szCs w:val="28"/>
          <w:lang w:val="ro-RO"/>
        </w:rPr>
      </w:pPr>
      <w:r w:rsidRPr="00DA63EA">
        <w:rPr>
          <w:b/>
          <w:bCs/>
          <w:sz w:val="32"/>
          <w:szCs w:val="28"/>
          <w:lang w:val="ro-RO"/>
        </w:rPr>
        <w:t>La disciplina</w:t>
      </w:r>
      <w:r w:rsidRPr="00DA63EA">
        <w:rPr>
          <w:bCs/>
          <w:sz w:val="32"/>
          <w:szCs w:val="28"/>
          <w:lang w:val="ro-RO"/>
        </w:rPr>
        <w:t xml:space="preserve"> </w:t>
      </w:r>
      <w:r w:rsidRPr="00273B96">
        <w:rPr>
          <w:bCs/>
          <w:sz w:val="28"/>
          <w:szCs w:val="28"/>
          <w:lang w:val="ro-RO"/>
        </w:rPr>
        <w:t>„</w:t>
      </w:r>
      <w:r w:rsidRPr="00DA63EA">
        <w:rPr>
          <w:bCs/>
          <w:sz w:val="32"/>
          <w:szCs w:val="28"/>
          <w:lang w:val="ro-RO"/>
        </w:rPr>
        <w:t>Teoria şi Practica Integrării Europene</w:t>
      </w:r>
      <w:r w:rsidRPr="00273B96">
        <w:rPr>
          <w:bCs/>
          <w:sz w:val="28"/>
          <w:szCs w:val="28"/>
          <w:lang w:val="ro-RO"/>
        </w:rPr>
        <w:t>”</w:t>
      </w:r>
    </w:p>
    <w:p w:rsidR="009B3DA9" w:rsidRPr="00DA63EA" w:rsidRDefault="009B3DA9" w:rsidP="009B3DA9">
      <w:pPr>
        <w:jc w:val="center"/>
        <w:rPr>
          <w:sz w:val="32"/>
          <w:szCs w:val="28"/>
        </w:rPr>
      </w:pPr>
      <w:r w:rsidRPr="00DA63EA">
        <w:rPr>
          <w:sz w:val="32"/>
          <w:szCs w:val="28"/>
        </w:rPr>
        <w:t>TEMA:</w:t>
      </w:r>
    </w:p>
    <w:p w:rsidR="009B3DA9" w:rsidRPr="009B3DA9" w:rsidRDefault="009B3DA9" w:rsidP="009B3DA9">
      <w:pPr>
        <w:jc w:val="center"/>
        <w:rPr>
          <w:b/>
          <w:bCs/>
          <w:i/>
          <w:iCs/>
          <w:color w:val="000000"/>
          <w:sz w:val="32"/>
          <w:szCs w:val="28"/>
          <w:u w:val="single"/>
        </w:rPr>
      </w:pPr>
      <w:r w:rsidRPr="00DA63EA">
        <w:rPr>
          <w:b/>
          <w:bCs/>
          <w:i/>
          <w:color w:val="000000"/>
          <w:sz w:val="32"/>
          <w:szCs w:val="28"/>
          <w:u w:val="single"/>
        </w:rPr>
        <w:t>"</w:t>
      </w:r>
      <w:r w:rsidRPr="00DA63EA">
        <w:rPr>
          <w:b/>
          <w:i/>
          <w:sz w:val="24"/>
          <w:u w:val="single"/>
          <w:lang w:val="ro-RO"/>
        </w:rPr>
        <w:t xml:space="preserve"> </w:t>
      </w:r>
      <w:r>
        <w:rPr>
          <w:b/>
          <w:i/>
          <w:sz w:val="24"/>
          <w:u w:val="single"/>
          <w:lang w:val="ro-RO"/>
        </w:rPr>
        <w:t>Politica Transporturilor UE „</w:t>
      </w:r>
    </w:p>
    <w:p w:rsidR="009B3DA9" w:rsidRDefault="009B3DA9" w:rsidP="009B3DA9">
      <w:pPr>
        <w:jc w:val="center"/>
        <w:rPr>
          <w:i/>
          <w:u w:val="single"/>
        </w:rPr>
      </w:pPr>
      <w:r>
        <w:rPr>
          <w:i/>
          <w:u w:val="single"/>
        </w:rPr>
        <w:t xml:space="preserve">                          </w:t>
      </w:r>
    </w:p>
    <w:p w:rsidR="009B3DA9" w:rsidRDefault="009B3DA9" w:rsidP="009B3DA9">
      <w:pPr>
        <w:jc w:val="center"/>
        <w:rPr>
          <w:i/>
          <w:u w:val="single"/>
        </w:rPr>
      </w:pPr>
    </w:p>
    <w:p w:rsidR="009B3DA9" w:rsidRDefault="009B3DA9" w:rsidP="009B3DA9">
      <w:pPr>
        <w:jc w:val="center"/>
        <w:rPr>
          <w:i/>
          <w:u w:val="single"/>
        </w:rPr>
      </w:pPr>
    </w:p>
    <w:p w:rsidR="009B3DA9" w:rsidRPr="00DA63EA" w:rsidRDefault="009B3DA9" w:rsidP="009B3DA9">
      <w:pPr>
        <w:rPr>
          <w:iCs/>
          <w:color w:val="000000"/>
          <w:sz w:val="28"/>
          <w:szCs w:val="28"/>
          <w:lang w:val="ro-RO"/>
        </w:rPr>
      </w:pPr>
      <w:r w:rsidRPr="00DA63EA">
        <w:rPr>
          <w:iCs/>
          <w:color w:val="000000"/>
          <w:sz w:val="28"/>
          <w:szCs w:val="28"/>
        </w:rPr>
        <w:t xml:space="preserve">                   </w:t>
      </w:r>
      <w:r w:rsidRPr="008B3128">
        <w:rPr>
          <w:iCs/>
          <w:color w:val="000000"/>
          <w:sz w:val="28"/>
          <w:szCs w:val="28"/>
        </w:rPr>
        <w:t>EXECUTAT</w:t>
      </w:r>
      <w:r>
        <w:rPr>
          <w:iCs/>
          <w:color w:val="000000"/>
          <w:sz w:val="28"/>
          <w:szCs w:val="28"/>
        </w:rPr>
        <w:t>:</w:t>
      </w:r>
      <w:r w:rsidRPr="00DA63EA">
        <w:rPr>
          <w:iCs/>
          <w:color w:val="000000"/>
          <w:sz w:val="28"/>
          <w:szCs w:val="28"/>
        </w:rPr>
        <w:t xml:space="preserve">                                     </w:t>
      </w:r>
      <w:r>
        <w:rPr>
          <w:iCs/>
          <w:color w:val="000000"/>
          <w:sz w:val="28"/>
          <w:szCs w:val="28"/>
          <w:lang w:val="ro-RO"/>
        </w:rPr>
        <w:t xml:space="preserve"> </w:t>
      </w:r>
      <w:r w:rsidRPr="00DA63EA">
        <w:rPr>
          <w:iCs/>
          <w:color w:val="000000"/>
          <w:sz w:val="28"/>
          <w:szCs w:val="28"/>
          <w:lang w:val="ro-RO"/>
        </w:rPr>
        <w:t>st., gr AI-151,</w:t>
      </w:r>
      <w:r w:rsidRPr="00DA63EA">
        <w:rPr>
          <w:iCs/>
          <w:color w:val="000000"/>
          <w:sz w:val="28"/>
          <w:szCs w:val="28"/>
        </w:rPr>
        <w:t xml:space="preserve"> Brăduleac Vadim</w:t>
      </w:r>
    </w:p>
    <w:p w:rsidR="009B3DA9" w:rsidRPr="00DA63EA" w:rsidRDefault="009B3DA9" w:rsidP="009B3DA9">
      <w:pPr>
        <w:rPr>
          <w:sz w:val="28"/>
          <w:szCs w:val="28"/>
          <w:lang w:val="ro-MD"/>
        </w:rPr>
      </w:pPr>
      <w:r w:rsidRPr="00DA63EA">
        <w:rPr>
          <w:sz w:val="28"/>
          <w:szCs w:val="28"/>
        </w:rPr>
        <w:t xml:space="preserve">                   </w:t>
      </w:r>
      <w:r w:rsidRPr="00DA63EA">
        <w:rPr>
          <w:sz w:val="28"/>
          <w:szCs w:val="28"/>
          <w:lang w:val="ro-RO"/>
        </w:rPr>
        <w:t xml:space="preserve">Verificat: </w:t>
      </w:r>
      <w:r w:rsidRPr="00DA63EA">
        <w:rPr>
          <w:sz w:val="28"/>
          <w:szCs w:val="28"/>
        </w:rPr>
        <w:t xml:space="preserve">                                      </w:t>
      </w:r>
      <w:r w:rsidRPr="003D24F9">
        <w:rPr>
          <w:sz w:val="28"/>
          <w:szCs w:val="28"/>
        </w:rPr>
        <w:t xml:space="preserve"> </w:t>
      </w:r>
      <w:r w:rsidRPr="00DA63EA">
        <w:rPr>
          <w:sz w:val="28"/>
          <w:szCs w:val="28"/>
        </w:rPr>
        <w:t xml:space="preserve">  </w:t>
      </w:r>
      <w:r w:rsidRPr="00DA63EA">
        <w:rPr>
          <w:sz w:val="28"/>
          <w:szCs w:val="28"/>
          <w:lang w:val="ro-RO"/>
        </w:rPr>
        <w:t>N.C</w:t>
      </w:r>
      <w:r w:rsidRPr="00DA63EA">
        <w:rPr>
          <w:sz w:val="28"/>
          <w:szCs w:val="28"/>
          <w:lang w:val="ro-MD"/>
        </w:rPr>
        <w:t>ărbune</w:t>
      </w:r>
    </w:p>
    <w:p w:rsidR="009B3DA9" w:rsidRDefault="009B3DA9" w:rsidP="009B3DA9">
      <w:pPr>
        <w:rPr>
          <w:sz w:val="28"/>
          <w:szCs w:val="28"/>
          <w:lang w:val="ro-RO"/>
        </w:rPr>
      </w:pPr>
    </w:p>
    <w:p w:rsidR="009B3DA9" w:rsidRDefault="009B3DA9" w:rsidP="009B3DA9">
      <w:pPr>
        <w:jc w:val="center"/>
        <w:rPr>
          <w:sz w:val="28"/>
          <w:szCs w:val="28"/>
          <w:lang w:val="ro-RO"/>
        </w:rPr>
      </w:pPr>
    </w:p>
    <w:p w:rsidR="009B3DA9" w:rsidRDefault="009B3DA9" w:rsidP="009B3DA9">
      <w:pPr>
        <w:jc w:val="center"/>
        <w:rPr>
          <w:sz w:val="28"/>
          <w:szCs w:val="28"/>
          <w:lang w:val="ro-RO"/>
        </w:rPr>
      </w:pPr>
    </w:p>
    <w:p w:rsidR="009B3DA9" w:rsidRPr="009B3DA9" w:rsidRDefault="009B3DA9" w:rsidP="009B3DA9">
      <w:pPr>
        <w:jc w:val="center"/>
        <w:rPr>
          <w:rFonts w:ascii="Arial" w:hAnsi="Arial" w:cs="Arial"/>
          <w:color w:val="565656"/>
          <w:sz w:val="18"/>
          <w:szCs w:val="18"/>
        </w:rPr>
      </w:pPr>
      <w:r>
        <w:rPr>
          <w:sz w:val="28"/>
          <w:szCs w:val="28"/>
          <w:lang w:val="ro-RO"/>
        </w:rPr>
        <w:t>2016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r>
        <w:rPr>
          <w:rFonts w:ascii="Georgia" w:eastAsia="Times New Roman" w:hAnsi="Georgia" w:cs="Times New Roman"/>
          <w:color w:val="404040"/>
          <w:sz w:val="25"/>
          <w:szCs w:val="25"/>
        </w:rPr>
        <w:lastRenderedPageBreak/>
        <w:t xml:space="preserve">      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Transporturile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constituie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un sector economic-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cheie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(cu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valoare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adăugată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brută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4,8 %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sau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548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miliarde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EUR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toate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28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țări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ale UE),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asigură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peste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11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milioane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locuri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muncă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Europa.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Comisia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Europeană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propune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dezvolte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promoveze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politici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eficiente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sigure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durabile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creeze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condițiile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necesare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industrie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competitivă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genereze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locuri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muncă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prosperitate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Marile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provocări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în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materie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de transport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în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Europa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măsură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societățile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noastre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devin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mobile,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politica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încearcă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ajute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sistemele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facă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față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provocărilor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majore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care se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confruntă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numPr>
          <w:ilvl w:val="0"/>
          <w:numId w:val="1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Congestionarea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traficului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rutier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aerian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generează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costuri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reprezentând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aproximativ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1 % din PIB-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anual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al UE,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condițiile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care,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potrivit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estimărilor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transportul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mărfuri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pasageri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căpăta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amploare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tot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mare.</w:t>
      </w:r>
    </w:p>
    <w:p w:rsidR="009B3DA9" w:rsidRPr="009B3DA9" w:rsidRDefault="009B3DA9" w:rsidP="009B3DA9">
      <w:pPr>
        <w:numPr>
          <w:ilvl w:val="0"/>
          <w:numId w:val="1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Dependența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de petrol</w: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-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eficiența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energetică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transporturilor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crescut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acest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sector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depinde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petrol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a-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acoperi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96% 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necesarul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energie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resursele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petrol se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diminua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iar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acesta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proveni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mare parte din zone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instabile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ale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lumii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Se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estimează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până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2050,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prețul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petrolului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fi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puțin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dublu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față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nivelul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2005.</w:t>
      </w:r>
    </w:p>
    <w:p w:rsidR="009B3DA9" w:rsidRPr="009B3DA9" w:rsidRDefault="009B3DA9" w:rsidP="009B3DA9">
      <w:pPr>
        <w:numPr>
          <w:ilvl w:val="0"/>
          <w:numId w:val="1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Emisiile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de gaze cu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efect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de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seră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-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până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2050,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sectorul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european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al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transporturilor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trebuie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să-și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reducă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emisiile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60%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față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nivelurile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1990,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dacă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dorim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limităm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încălzirea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globală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la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creștere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doar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2ºC.</w:t>
      </w:r>
    </w:p>
    <w:p w:rsidR="009B3DA9" w:rsidRPr="009B3DA9" w:rsidRDefault="009B3DA9" w:rsidP="009B3DA9">
      <w:pPr>
        <w:numPr>
          <w:ilvl w:val="0"/>
          <w:numId w:val="1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Infrastructura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–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calitatea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variază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la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țară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UE la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alta</w:t>
      </w:r>
      <w:proofErr w:type="spellEnd"/>
    </w:p>
    <w:p w:rsidR="009B3DA9" w:rsidRPr="009B3DA9" w:rsidRDefault="009B3DA9" w:rsidP="009B3DA9">
      <w:pPr>
        <w:numPr>
          <w:ilvl w:val="0"/>
          <w:numId w:val="1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Concurența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-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sectorul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transporturilor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UE se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confruntă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concurență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creștere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piețele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 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alte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regiuni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glob,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cunosc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dezvoltare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rapidă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date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statistice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această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temă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consultați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begin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instrText xml:space="preserve"> HYPERLINK "http://ec.europa.eu/transport/facts-fundings/scoreboard/index_ro.htm" </w:instrTex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separate"/>
      </w:r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tabloul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de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bord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privind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transporturile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end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,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begin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instrText xml:space="preserve"> HYPERLINK "http://ec.europa.eu/transport/facts-fundings/infographics/index_ro.htm" </w:instrTex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separate"/>
      </w:r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infograficele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privind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transportul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end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hyperlink r:id="rId5" w:history="1"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„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Transportul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european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în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cifre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”,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în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format de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buzunar</w:t>
        </w:r>
        <w:proofErr w:type="spellEnd"/>
      </w:hyperlink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Realizările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UE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în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domeniul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transportului</w:t>
      </w:r>
      <w:proofErr w:type="spellEnd"/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Datorită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politicii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UE,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sectorul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european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al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transporturilor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înregistrat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progrese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considerabile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ultimii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 de </w:t>
      </w:r>
      <w:proofErr w:type="spellStart"/>
      <w:proofErr w:type="gram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ani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r>
        <w:rPr>
          <w:rFonts w:ascii="inherit" w:eastAsia="Times New Roman" w:hAnsi="inherit" w:cs="Times New Roman"/>
          <w:noProof/>
          <w:color w:val="551A8B"/>
          <w:sz w:val="25"/>
          <w:szCs w:val="25"/>
          <w:bdr w:val="none" w:sz="0" w:space="0" w:color="auto" w:frame="1"/>
        </w:rPr>
        <w:t>:</w:t>
      </w:r>
      <w:proofErr w:type="gram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</w:p>
    <w:p w:rsidR="009B3DA9" w:rsidRPr="009B3DA9" w:rsidRDefault="009B3DA9" w:rsidP="009B3DA9">
      <w:pPr>
        <w:numPr>
          <w:ilvl w:val="0"/>
          <w:numId w:val="2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un transport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aerian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maritim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rutier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mai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sigur</w:t>
      </w:r>
      <w:proofErr w:type="spellEnd"/>
    </w:p>
    <w:p w:rsidR="009B3DA9" w:rsidRPr="009B3DA9" w:rsidRDefault="009B3DA9" w:rsidP="009B3DA9">
      <w:pPr>
        <w:numPr>
          <w:ilvl w:val="0"/>
          <w:numId w:val="2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un </w:t>
      </w:r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program de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lucru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rezonabil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lucrează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sectorul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transporturilor</w:t>
      </w:r>
      <w:proofErr w:type="spellEnd"/>
    </w:p>
    <w:p w:rsidR="009B3DA9" w:rsidRPr="009B3DA9" w:rsidRDefault="009B3DA9" w:rsidP="009B3DA9">
      <w:pPr>
        <w:numPr>
          <w:ilvl w:val="0"/>
          <w:numId w:val="2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multe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posibilități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 </w: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de transport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pasageri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întreprinderi</w:t>
      </w:r>
      <w:proofErr w:type="spellEnd"/>
    </w:p>
    <w:p w:rsidR="009B3DA9" w:rsidRPr="009B3DA9" w:rsidRDefault="009B3DA9" w:rsidP="009B3DA9">
      <w:pPr>
        <w:numPr>
          <w:ilvl w:val="0"/>
          <w:numId w:val="2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lastRenderedPageBreak/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puțină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poluare</w:t>
      </w:r>
      <w:proofErr w:type="spellEnd"/>
    </w:p>
    <w:p w:rsidR="009B3DA9" w:rsidRPr="009B3DA9" w:rsidRDefault="009B3DA9" w:rsidP="009B3DA9">
      <w:pPr>
        <w:numPr>
          <w:ilvl w:val="0"/>
          <w:numId w:val="2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progrese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tehnologice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către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un transport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ecologic.</w:t>
      </w:r>
    </w:p>
    <w:p w:rsidR="009B3DA9" w:rsidRPr="009B3DA9" w:rsidRDefault="009B3DA9" w:rsidP="009B3DA9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Mai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multă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concurență</w:t>
      </w:r>
      <w:proofErr w:type="spellEnd"/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Transportul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rutier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-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camioanele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pot opera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acum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alte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țări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decât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origine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nefiind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nevoite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întotdeauna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se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întoarcă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cursele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internaționale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fără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încărcătură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Această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nouă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flexibilitate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stimulează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concurența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sporește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calitatea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serviciilor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mărfuri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călători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diminuează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costurile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eficientizează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cursele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reducând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poluarea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același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timp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serie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norme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tehnice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comune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ameliorat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siguranța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Transportul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aerian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-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zborurile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se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efectuează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ușor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ieftin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numărul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companiilor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aeriene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al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rutelor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crescut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există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sute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servicii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leagă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numeroase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aeroporturi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Europa. Cu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ajutorul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inițiativei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„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unic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european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” </w:t>
      </w:r>
      <w:r w:rsidRPr="009B3DA9">
        <w:rPr>
          <w:rFonts w:ascii="inherit" w:eastAsia="Times New Roman" w:hAnsi="inherit" w:cs="Times New Roman"/>
          <w:noProof/>
          <w:color w:val="551A8B"/>
          <w:sz w:val="25"/>
          <w:szCs w:val="25"/>
          <w:bdr w:val="none" w:sz="0" w:space="0" w:color="auto" w:frame="1"/>
        </w:rPr>
        <w:drawing>
          <wp:inline distT="0" distB="0" distL="0" distR="0">
            <wp:extent cx="152400" cy="123825"/>
            <wp:effectExtent l="0" t="0" r="0" b="9525"/>
            <wp:docPr id="4" name="Рисунок 4" descr="Traducerile linkului anterior">
              <a:hlinkClick xmlns:a="http://schemas.openxmlformats.org/drawingml/2006/main" r:id="rId6" tooltip="&quot;Traducerile linkului anteri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ducerile linkului anterior">
                      <a:hlinkClick r:id="rId6" tooltip="&quot;Traducerile linkului anteri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 </w:t>
      </w:r>
      <w:hyperlink r:id="rId8" w:tooltip="English (en)" w:history="1">
        <w:r w:rsidRPr="009B3DA9">
          <w:rPr>
            <w:rFonts w:ascii="inherit" w:eastAsia="Times New Roman" w:hAnsi="inherit" w:cs="Times New Roman"/>
            <w:color w:val="551A8B"/>
            <w:sz w:val="15"/>
            <w:szCs w:val="15"/>
            <w:bdr w:val="none" w:sz="0" w:space="0" w:color="auto" w:frame="1"/>
            <w:shd w:val="clear" w:color="auto" w:fill="FFFFFF"/>
            <w:lang w:val="en"/>
          </w:rPr>
          <w:t>English (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15"/>
            <w:szCs w:val="15"/>
            <w:u w:val="single"/>
            <w:bdr w:val="single" w:sz="6" w:space="1" w:color="551A8B" w:frame="1"/>
            <w:shd w:val="clear" w:color="auto" w:fill="FFFFFF"/>
            <w:lang w:val="en"/>
          </w:rPr>
          <w:t>en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15"/>
            <w:szCs w:val="15"/>
            <w:bdr w:val="none" w:sz="0" w:space="0" w:color="auto" w:frame="1"/>
            <w:shd w:val="clear" w:color="auto" w:fill="FFFFFF"/>
            <w:lang w:val="en"/>
          </w:rPr>
          <w:t>)</w:t>
        </w:r>
      </w:hyperlink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menține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această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tendință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Acordurile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hyperlink r:id="rId9" w:history="1"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„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cer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deschis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"</w:t>
        </w:r>
      </w:hyperlink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le permit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companiilor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aeriene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europene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opereze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zboruri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plecarea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orice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aeroport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sosirea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orice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oraș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alte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țări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UE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semnat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acest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tip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acord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SUA, Canada, Israel,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țări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Balcani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Maroc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Iordania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Georgia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Moldova,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lista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rămânând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deschisă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Verificați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statutul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relațiilor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materie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aerian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,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begin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instrText xml:space="preserve"> HYPERLINK "http://ec.europa.eu/transport/modes/air/international_aviation/country_index/index_ro.htm" </w:instrTex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separate"/>
      </w:r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după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țară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end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Transportul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feroviar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-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orice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companie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feroviar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dispune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licență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poate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presta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acum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servicii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tot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teritoriul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UE.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Rețeaua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feroviară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mare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viteză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s-a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extins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rapid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ultimii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ani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permițându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-le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pasagerilor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economisească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timp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bani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Sunt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prevăzute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îmbunătățiri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suplimentare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Transportul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maritim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- 75% 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schimburile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comerciale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dintre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Europa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alte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țări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se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realizează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mare,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iar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continentul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european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40% 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mărfuri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sunt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transportate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vaporul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asemenea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400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milioane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pasageri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utilizează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anual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căile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navigabile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europene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Deschiderea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pieței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maritime le-a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permis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companiilor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opereze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circule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liber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alte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țări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decât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origine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2014,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Consiliul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Parlamentul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European au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convenit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promoveze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dezvoltarea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până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2025,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unei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rețele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centrale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puncte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alimentare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gaz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natural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lichefiat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situate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porturile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maritime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principale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(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begin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instrText xml:space="preserve"> HYPERLINK "http://ec.europa.eu/transport/themes/infrastructure/index_ro.htm" </w:instrTex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separate"/>
      </w:r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rețeaua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transeuropeană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end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),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precum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unor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puncte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alimentare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energie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electrică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la mal. </w:t>
      </w:r>
    </w:p>
    <w:p w:rsidR="009B3DA9" w:rsidRPr="009B3DA9" w:rsidRDefault="009B3DA9" w:rsidP="009B3DA9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Drepturile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pasagerilor</w:t>
      </w:r>
      <w:proofErr w:type="spellEnd"/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Cetățenii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europeni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călătoresc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sunt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protejați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bune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begin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instrText xml:space="preserve"> HYPERLINK "http://europa.eu/youreurope/citizens/travel/passenger-rights/index_ro.htm" </w:instrTex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separate"/>
      </w:r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drepturi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ale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pasagerilor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end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lume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acestea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acoperind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toate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mijloacele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transport: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avion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tren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vapor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autobuz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sau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autocar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hyperlink r:id="rId10" w:history="1"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Aplicația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pentru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consultarea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drepturilor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pasagerilor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în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UE</w:t>
        </w:r>
      </w:hyperlink>
    </w:p>
    <w:p w:rsidR="009B3DA9" w:rsidRPr="009B3DA9" w:rsidRDefault="009B3DA9" w:rsidP="009B3DA9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O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călătorie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sigură</w:t>
      </w:r>
      <w:proofErr w:type="spellEnd"/>
    </w:p>
    <w:p w:rsidR="009B3DA9" w:rsidRPr="009B3DA9" w:rsidRDefault="009B3DA9" w:rsidP="009B3DA9">
      <w:pPr>
        <w:numPr>
          <w:ilvl w:val="0"/>
          <w:numId w:val="3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Între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1992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2010,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numărul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accidentelor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rutiere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mortale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survenite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Europa s-a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înjumătățit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scăzând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la 70 000 la 31 000.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Între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2010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2013,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cifrele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scăzut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17%.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Aceasta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înseamnă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putea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atinge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probabil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obiectivul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strategic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l-a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stabilit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anul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2020,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acela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a reduce cu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50%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numărul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deceselor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cauzate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accidente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rutiere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numPr>
          <w:ilvl w:val="0"/>
          <w:numId w:val="3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hyperlink r:id="rId11" w:history="1"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Companiile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aeriene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care nu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prezintă</w:t>
        </w:r>
        <w:proofErr w:type="spellEnd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 xml:space="preserve"> </w:t>
        </w:r>
        <w:proofErr w:type="spellStart"/>
        <w:r w:rsidRPr="009B3DA9">
          <w:rPr>
            <w:rFonts w:ascii="inherit" w:eastAsia="Times New Roman" w:hAnsi="inherit" w:cs="Times New Roman"/>
            <w:color w:val="551A8B"/>
            <w:sz w:val="25"/>
            <w:szCs w:val="25"/>
            <w:u w:val="single"/>
            <w:bdr w:val="none" w:sz="0" w:space="0" w:color="auto" w:frame="1"/>
          </w:rPr>
          <w:t>siguranță</w:t>
        </w:r>
        <w:proofErr w:type="spellEnd"/>
      </w:hyperlink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au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interdicție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zbor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Europa.</w:t>
      </w:r>
    </w:p>
    <w:p w:rsidR="009B3DA9" w:rsidRPr="009B3DA9" w:rsidRDefault="009B3DA9" w:rsidP="009B3DA9">
      <w:pPr>
        <w:numPr>
          <w:ilvl w:val="0"/>
          <w:numId w:val="3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Au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fost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introduse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norme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riguroase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materie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 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siguranță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maritimă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printre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controale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mai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stricte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ale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ambarcațiunilor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penalizări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poluarea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cauzată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neglijență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scoaterea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progresivă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circuit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petrolierelor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simplă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numPr>
          <w:ilvl w:val="0"/>
          <w:numId w:val="3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stabilește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standarde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de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siguranță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și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securitate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finanțează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doar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proiectele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noi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infrastructură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respectă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aceste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standarde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numPr>
          <w:ilvl w:val="0"/>
          <w:numId w:val="3"/>
        </w:numPr>
        <w:shd w:val="clear" w:color="auto" w:fill="FFFFFF"/>
        <w:spacing w:beforeAutospacing="1" w:after="0" w:line="403" w:lineRule="atLeast"/>
        <w:ind w:left="0"/>
        <w:rPr>
          <w:rFonts w:ascii="Georgia" w:eastAsia="Times New Roman" w:hAnsi="Georgia" w:cs="Times New Roman"/>
          <w:color w:val="404040"/>
          <w:sz w:val="25"/>
          <w:szCs w:val="25"/>
        </w:rPr>
      </w:pP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colaborează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organizații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precum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Organizația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Aviației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Civile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Internaționale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(</w:t>
      </w:r>
      <w:proofErr w:type="gram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OACI) </w:t>
      </w:r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și</w:t>
      </w:r>
      <w:proofErr w:type="spellEnd"/>
      <w:proofErr w:type="gramEnd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Organizația</w:t>
      </w:r>
      <w:proofErr w:type="spellEnd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Maritimă</w:t>
      </w:r>
      <w:proofErr w:type="spellEnd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Internațională</w:t>
      </w:r>
      <w:proofErr w:type="spellEnd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 xml:space="preserve"> (OMI) </w: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promova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standardele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siguranță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securitate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restul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lumii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Un transport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inteligent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și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durabil</w:t>
      </w:r>
      <w:proofErr w:type="spellEnd"/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sprijină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begin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instrText xml:space="preserve"> HYPERLINK "http://ec.europa.eu/transport/themes/research/index_ro.htm" </w:instrTex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separate"/>
      </w:r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cercetarea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și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inovarea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end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introducerea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unor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noi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tehnologii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ecologice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transport.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exemplu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există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serie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begin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instrText xml:space="preserve"> HYPERLINK "http://ec.europa.eu/transport/themes/urban/cpt/index_ro.htm" </w:instrTex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separate"/>
      </w:r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noi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norme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end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obligă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țările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din 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promoveze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tehnologii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curate (automobile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funcționează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electricitate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/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hidrogen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camioane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/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barje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/nave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utilizează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drept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combustibil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gazul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)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prin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crearea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unui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număr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minim de 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stații</w:t>
      </w:r>
      <w:proofErr w:type="spellEnd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 xml:space="preserve"> de </w:t>
      </w:r>
      <w:proofErr w:type="spellStart"/>
      <w:r w:rsidRPr="009B3DA9">
        <w:rPr>
          <w:rFonts w:ascii="inherit" w:eastAsia="Times New Roman" w:hAnsi="inherit" w:cs="Times New Roman"/>
          <w:b/>
          <w:bCs/>
          <w:color w:val="404040"/>
          <w:sz w:val="25"/>
          <w:szCs w:val="25"/>
          <w:bdr w:val="none" w:sz="0" w:space="0" w:color="auto" w:frame="1"/>
        </w:rPr>
        <w:t>alimentare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Infrastructură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și</w:t>
      </w:r>
      <w:proofErr w:type="spellEnd"/>
      <w:r w:rsidRPr="009B3DA9">
        <w:rPr>
          <w:rFonts w:ascii="Arial" w:eastAsia="Times New Roman" w:hAnsi="Arial" w:cs="Arial"/>
          <w:color w:val="333333"/>
          <w:sz w:val="33"/>
          <w:szCs w:val="33"/>
        </w:rPr>
        <w:t xml:space="preserve"> </w:t>
      </w:r>
      <w:proofErr w:type="spellStart"/>
      <w:r w:rsidRPr="009B3DA9">
        <w:rPr>
          <w:rFonts w:ascii="Arial" w:eastAsia="Times New Roman" w:hAnsi="Arial" w:cs="Arial"/>
          <w:color w:val="333333"/>
          <w:sz w:val="33"/>
          <w:szCs w:val="33"/>
        </w:rPr>
        <w:t>finanțare</w:t>
      </w:r>
      <w:proofErr w:type="spellEnd"/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Din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ianuarie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2014, UE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dispune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o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nouă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politică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privind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 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begin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instrText xml:space="preserve"> HYPERLINK "http://ec.europa.eu/transport/themes/infrastructure/index_ro.htm" </w:instrTex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separate"/>
      </w:r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>infrastructura</w:t>
      </w:r>
      <w:proofErr w:type="spellEnd"/>
      <w:r w:rsidRPr="009B3DA9">
        <w:rPr>
          <w:rFonts w:ascii="inherit" w:eastAsia="Times New Roman" w:hAnsi="inherit" w:cs="Times New Roman"/>
          <w:color w:val="551A8B"/>
          <w:sz w:val="25"/>
          <w:szCs w:val="25"/>
          <w:u w:val="single"/>
          <w:bdr w:val="none" w:sz="0" w:space="0" w:color="auto" w:frame="1"/>
        </w:rPr>
        <w:t xml:space="preserve"> de transport</w:t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fldChar w:fldCharType="end"/>
      </w:r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conecta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continentul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la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est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la vest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la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nord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la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sud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.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Această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politică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urmărește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reducă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decalajele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existente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la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nivelul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rețelelor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transport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naționale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elimine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blocajele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care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împiedică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buna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funcționare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a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pieței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unice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depășească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bariere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precum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normele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tehnice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feroviare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incompatibile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.</w:t>
      </w:r>
    </w:p>
    <w:p w:rsidR="009B3DA9" w:rsidRPr="009B3DA9" w:rsidRDefault="009B3DA9" w:rsidP="009B3DA9">
      <w:pPr>
        <w:shd w:val="clear" w:color="auto" w:fill="FFFFFF"/>
        <w:spacing w:after="0" w:line="403" w:lineRule="atLeast"/>
        <w:rPr>
          <w:rFonts w:ascii="Georgia" w:eastAsia="Times New Roman" w:hAnsi="Georgia" w:cs="Times New Roman"/>
          <w:color w:val="404040"/>
          <w:sz w:val="25"/>
          <w:szCs w:val="25"/>
        </w:rPr>
      </w:pP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Această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politică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este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finanțată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prin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Mecanismul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pentru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interconectarea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proofErr w:type="gram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Europei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proofErr w:type="gram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dispune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un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buget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26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miliarde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EUR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până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2020.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asemenea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beneficia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 </w:t>
      </w:r>
      <w:proofErr w:type="spellStart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planul</w:t>
      </w:r>
      <w:proofErr w:type="spellEnd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 xml:space="preserve"> de </w:t>
      </w:r>
      <w:proofErr w:type="spellStart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investiții</w:t>
      </w:r>
      <w:proofErr w:type="spellEnd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pe</w:t>
      </w:r>
      <w:proofErr w:type="spellEnd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trei</w:t>
      </w:r>
      <w:proofErr w:type="spellEnd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9B3DA9">
        <w:rPr>
          <w:rFonts w:ascii="inherit" w:eastAsia="Times New Roman" w:hAnsi="inherit" w:cs="Times New Roman"/>
          <w:color w:val="404040"/>
          <w:sz w:val="25"/>
          <w:szCs w:val="25"/>
          <w:bdr w:val="none" w:sz="0" w:space="0" w:color="auto" w:frame="1"/>
        </w:rPr>
        <w:t>ani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 al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Comisiei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menit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să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deblocheze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investiții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publice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și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private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valoare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de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cel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puțin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315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miliarde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EUR,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până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</w:t>
      </w:r>
      <w:proofErr w:type="spellStart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>în</w:t>
      </w:r>
      <w:proofErr w:type="spellEnd"/>
      <w:r w:rsidRPr="009B3DA9">
        <w:rPr>
          <w:rFonts w:ascii="Georgia" w:eastAsia="Times New Roman" w:hAnsi="Georgia" w:cs="Times New Roman"/>
          <w:color w:val="404040"/>
          <w:sz w:val="25"/>
          <w:szCs w:val="25"/>
        </w:rPr>
        <w:t xml:space="preserve"> 2017.</w:t>
      </w:r>
      <w:bookmarkStart w:id="0" w:name="_GoBack"/>
      <w:bookmarkEnd w:id="0"/>
    </w:p>
    <w:sectPr w:rsidR="009B3DA9" w:rsidRPr="009B3D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FC6"/>
    <w:multiLevelType w:val="multilevel"/>
    <w:tmpl w:val="94E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63307"/>
    <w:multiLevelType w:val="multilevel"/>
    <w:tmpl w:val="AF3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44F7A"/>
    <w:multiLevelType w:val="multilevel"/>
    <w:tmpl w:val="67C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65"/>
    <w:rsid w:val="006A40C9"/>
    <w:rsid w:val="009B3DA9"/>
    <w:rsid w:val="00D2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3BA2"/>
  <w15:chartTrackingRefBased/>
  <w15:docId w15:val="{F1ABD4F2-73B3-4F57-B560-146EFFEF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B3DA9"/>
  </w:style>
  <w:style w:type="character" w:styleId="a4">
    <w:name w:val="Strong"/>
    <w:basedOn w:val="a0"/>
    <w:uiPriority w:val="22"/>
    <w:qFormat/>
    <w:rsid w:val="009B3D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B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B3DA9"/>
    <w:rPr>
      <w:color w:val="0000FF"/>
      <w:u w:val="single"/>
    </w:rPr>
  </w:style>
  <w:style w:type="character" w:customStyle="1" w:styleId="ws-popup">
    <w:name w:val="ws-popup"/>
    <w:basedOn w:val="a0"/>
    <w:rsid w:val="009B3DA9"/>
  </w:style>
  <w:style w:type="character" w:customStyle="1" w:styleId="ws-popup-layout">
    <w:name w:val="ws-popup-layout"/>
    <w:basedOn w:val="a0"/>
    <w:rsid w:val="009B3DA9"/>
  </w:style>
  <w:style w:type="character" w:customStyle="1" w:styleId="off-screen">
    <w:name w:val="off-screen"/>
    <w:basedOn w:val="a0"/>
    <w:rsid w:val="009B3DA9"/>
  </w:style>
  <w:style w:type="character" w:customStyle="1" w:styleId="link-disabled">
    <w:name w:val="link-disabled"/>
    <w:basedOn w:val="a0"/>
    <w:rsid w:val="009B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control.int/dossiers/single-european-sk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o)" TargetMode="External"/><Relationship Id="rId11" Type="http://schemas.openxmlformats.org/officeDocument/2006/relationships/hyperlink" Target="http://ec.europa.eu/transport/modes/air/safety/air-ban/index_ro.htm" TargetMode="External"/><Relationship Id="rId5" Type="http://schemas.openxmlformats.org/officeDocument/2006/relationships/hyperlink" Target="http://ec.europa.eu/transport/facts-fundings/statistics/pocketbook-2013_ro.htm" TargetMode="External"/><Relationship Id="rId10" Type="http://schemas.openxmlformats.org/officeDocument/2006/relationships/hyperlink" Target="http://europa.eu/youreurope/citizens/travel/passenger-rights/index_r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.europa.eu/transport/modes/air/international_aviation/external_aviation_policy/index_ro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2</cp:revision>
  <dcterms:created xsi:type="dcterms:W3CDTF">2016-04-02T11:50:00Z</dcterms:created>
  <dcterms:modified xsi:type="dcterms:W3CDTF">2016-04-02T11:59:00Z</dcterms:modified>
</cp:coreProperties>
</file>