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endnotes.xml" ContentType="application/vnd.openxmlformats-officedocument.wordprocessingml.endnot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C79" w:rsidRPr="007705BC" w:rsidRDefault="007705BC" w:rsidP="007705BC">
      <w:bookmarkStart w:id="0" w:name="_GoBack"/>
      <w:bookmarkEnd w:id="0"/>
    </w:p>
    <w:sectPr w:rsidR="00C81C79" w:rsidRPr="007705B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b151520472cb4a45">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2014-07-03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%Now%;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b151520472cb4a45">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2014-07-03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%Now%;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b151520472cb4a45">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2014-08-03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%Now%;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b151520472cb4a45">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2014-08-03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%Now%;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b151520472cb4a45">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2014-09-03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%Now%;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b151520472cb4a45">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2014-09-03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%Now%;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b151520472cb4a45">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2014-10-03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%Now%;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b151520472cb4a45">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2014-10-03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%Now%;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b151520472cb4a45">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2014-11-03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%Now%;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b151520472cb4a45">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2014-11-03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%Now%;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b151520472cb4a45">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2014-12-03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%Now%;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b151520472cb4a45">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2014-12-03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%Now%;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b151520472cb4a45">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2015-01-03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%Now%;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b151520472cb4a45">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2015-01-03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%Now%;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b151520472cb4a45">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2015-02-03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%Now%;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b151520472cb4a45">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2015-02-03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%Now%;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b151520472cb4a45">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2015-03-03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%Now%;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b151520472cb4a45">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2015-03-03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%Now%;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b151520472cb4a45">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2015-04-03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%Now%;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b151520472cb4a45">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2015-04-03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%Now%;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b151520472cb4a45">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2015-05-03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%Now%;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b151520472cb4a45">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2015-05-03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%Now%;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b151520472cb4a45">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2015-06-03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%Now%;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b151520472cb4a45">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2015-06-03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%Now%;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b151520472cb4a45">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2015-07-03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%Now%;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b151520472cb4a45">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MHA Acute Care Alliance --Nadine Zahlan</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2015-07-03 12:00:00 AM</w:t>
                      </w:r>
                    </w:p>
                    <w:p w:rsidR="0061076C" w:rsidRDefault="0061076C" w:rsidP="0061076C">
                      <w:pPr>
                        <w:spacing w:before="200"/>
                      </w:pPr>
                      <w:r>
                        <w:rPr>
                          <w:rFonts w:cs="Calibri"/>
                          <w:b/>
                          <w:bCs/>
                          <w:color w:val="558ED5"/>
                          <w:sz w:val="32"/>
                          <w:szCs w:val="32"/>
                        </w:rPr>
                        <w:t>Mental Health Aliance Submission</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NACRS AND TREAT\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%Now%; Task ID = </w:t>
                      </w:r>
                      <w:proofErr w:type="spellStart"/>
                      <w:proofErr w:type="spellEnd"/>
                      <w:r>
                        <w:rPr>
                          <w:rFonts w:cs="Calibri"/>
                          <w:bCs/>
                          <w:color w:val="000000"/>
                          <w:sz w:val="18"/>
                          <w:szCs w:val="18"/>
                        </w:rPr>
                        <w:t>644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Liu Kun,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876" w:rsidRDefault="00E11876" w:rsidP="00C81C79">
      <w:pPr>
        <w:spacing w:after="0" w:line="240" w:lineRule="auto"/>
      </w:pPr>
      <w:r>
        <w:separator/>
      </w:r>
    </w:p>
  </w:endnote>
  <w:endnote w:type="continuationSeparator" w:id="0">
    <w:p w:rsidR="00E11876" w:rsidRDefault="00E11876" w:rsidP="00C81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876" w:rsidRDefault="00E11876" w:rsidP="00C81C79">
      <w:pPr>
        <w:spacing w:after="0" w:line="240" w:lineRule="auto"/>
      </w:pPr>
      <w:r>
        <w:separator/>
      </w:r>
    </w:p>
  </w:footnote>
  <w:footnote w:type="continuationSeparator" w:id="0">
    <w:p w:rsidR="00E11876" w:rsidRDefault="00E11876" w:rsidP="00C81C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17F62"/>
    <w:rsid w:val="001915A3"/>
    <w:rsid w:val="00217F62"/>
    <w:rsid w:val="007705BC"/>
    <w:rsid w:val="00A906D8"/>
    <w:rsid w:val="00AB5A74"/>
    <w:rsid w:val="00F071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C81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C79"/>
    <w:rPr>
      <w:sz w:val="22"/>
      <w:szCs w:val="22"/>
    </w:rPr>
  </w:style>
  <w:style w:type="paragraph" w:styleId="Footer">
    <w:name w:val="footer"/>
    <w:basedOn w:val="Normal"/>
    <w:link w:val="FooterChar"/>
    <w:uiPriority w:val="99"/>
    <w:unhideWhenUsed/>
    <w:rsid w:val="00C81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C79"/>
    <w:rPr>
      <w:sz w:val="22"/>
      <w:szCs w:val="22"/>
    </w:rPr>
  </w:style>
  <w:style w:type="paragraph" w:styleId="BalloonText">
    <w:name w:val="Balloon Text"/>
    <w:basedOn w:val="Normal"/>
    <w:link w:val="BalloonTextChar"/>
    <w:uiPriority w:val="99"/>
    <w:semiHidden/>
    <w:unhideWhenUsed/>
    <w:rsid w:val="00C81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C79"/>
    <w:rPr>
      <w:rFonts w:ascii="Tahoma" w:hAnsi="Tahoma" w:cs="Tahoma"/>
      <w:sz w:val="16"/>
      <w:szCs w:val="16"/>
    </w:rPr>
  </w:style>
  <w:style w:type="paragraph" w:default="1" w:styleId="Normal">
    <w:name w:val="Normal"/>
    <w:qFormat/>
    <w:pPr>
      <w:spacing w:after="200" w:line="276" w:lineRule="auto"/>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2Char">
    <w:name w:val="header"/>
    <w:basedOn w:val="Normal"/>
    <w:link w:val="Heading3Char"/>
    <w:uiPriority w:val="99"/>
    <w:unhideWhenUsed/>
    <w:rsid w:val="00C81C79"/>
    <w:pPr>
      <w:tabs>
        <w:tab w:val="center" w:pos="4680"/>
        <w:tab w:val="right" w:pos="9360"/>
      </w:tabs>
      <w:spacing w:after="0" w:line="240" w:lineRule="auto"/>
    </w:pPr>
  </w:style>
  <w:style w:type="character" w:customStyle="1" w:styleId="Heading3Char">
    <w:name w:val="Header Char"/>
    <w:basedOn w:val="DefaultParagraphFont"/>
    <w:link w:val="Heading2Char"/>
    <w:uiPriority w:val="99"/>
    <w:rsid w:val="00C81C79"/>
    <w:rPr>
      <w:sz w:val="22"/>
      <w:szCs w:val="22"/>
    </w:rPr>
  </w:style>
  <w:style w:type="paragraph" w:styleId="Heading4Char">
    <w:name w:val="footer"/>
    <w:basedOn w:val="Normal"/>
    <w:link w:val="Heading5Char"/>
    <w:uiPriority w:val="99"/>
    <w:unhideWhenUsed/>
    <w:rsid w:val="00C81C79"/>
    <w:pPr>
      <w:tabs>
        <w:tab w:val="center" w:pos="4680"/>
        <w:tab w:val="right" w:pos="9360"/>
      </w:tabs>
      <w:spacing w:after="0" w:line="240" w:lineRule="auto"/>
    </w:pPr>
  </w:style>
  <w:style w:type="character" w:customStyle="1" w:styleId="Heading5Char">
    <w:name w:val="Footer Char"/>
    <w:basedOn w:val="DefaultParagraphFont"/>
    <w:link w:val="Heading4Char"/>
    <w:uiPriority w:val="99"/>
    <w:rsid w:val="00C81C79"/>
    <w:rPr>
      <w:sz w:val="22"/>
      <w:szCs w:val="22"/>
    </w:rPr>
  </w:style>
  <w:style w:type="paragraph" w:styleId="Heading6Char">
    <w:name w:val="Balloon Text"/>
    <w:basedOn w:val="Normal"/>
    <w:link w:val="Heading7Char"/>
    <w:uiPriority w:val="99"/>
    <w:semiHidden/>
    <w:unhideWhenUsed/>
    <w:rsid w:val="00C81C7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C81C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endnotes" Target="endnotes.xml" Id="R2332ac423024420d" /><Relationship Type="http://schemas.openxmlformats.org/officeDocument/2006/relationships/footnotes" Target="footnotes.xml" Id="R172c1808d24b4ad9" /><Relationship Type="http://schemas.openxmlformats.org/officeDocument/2006/relationships/image" Target="/media/85074df8-38dc-477e-b013-0c1a1a2d0421.png" Id="Rb151520472cb4a4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F19A8-6240-4210-9D1E-28F3DDDB5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Hewlett-Packard</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Vadim</cp:lastModifiedBy>
  <cp:revision>3</cp:revision>
  <dcterms:created xsi:type="dcterms:W3CDTF">2014-06-09T02:18:00Z</dcterms:created>
  <dcterms:modified xsi:type="dcterms:W3CDTF">2014-06-09T02:18:00Z</dcterms:modified>
</cp:coreProperties>
</file>