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2014-05-24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2014-05-25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2014-05-26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2014-05-27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2014-05-28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2014-05-29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2014-05-30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2014-06-02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12e3c344cbff462a">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2014-06-03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061ef41754f94be1" /><Relationship Type="http://schemas.openxmlformats.org/officeDocument/2006/relationships/footnotes" Target="footnotes.xml" Id="Rf005ded373064528" /><Relationship Type="http://schemas.openxmlformats.org/officeDocument/2006/relationships/image" Target="/media/0d616d56-fd1c-4c15-8b6e-1c19e8240f93.png" Id="R12e3c344cbff46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