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0B75DC03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1F41D1">
        <w:rPr>
          <w:rFonts w:eastAsia="Arial Unicode MS"/>
          <w:sz w:val="28"/>
        </w:rPr>
        <w:t>25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Исследование влияния мобильных приложений на социальную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В современном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инклюзивность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дальнейшего исследования, анализа и создания таких продуктов, которые </w:t>
      </w:r>
      <w:r w:rsidRPr="00B6381C">
        <w:rPr>
          <w:sz w:val="28"/>
        </w:rPr>
        <w:lastRenderedPageBreak/>
        <w:t>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>анализа и сравнительного исследования, изучение опыта пользователей, а также прототипирование,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4ADE4580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7D62" w14:textId="77777777" w:rsidR="000A3C75" w:rsidRDefault="000A3C75" w:rsidP="00F763D2">
      <w:r>
        <w:separator/>
      </w:r>
    </w:p>
  </w:endnote>
  <w:endnote w:type="continuationSeparator" w:id="0">
    <w:p w14:paraId="0ABCB228" w14:textId="77777777" w:rsidR="000A3C75" w:rsidRDefault="000A3C75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4D7CB" w14:textId="77777777" w:rsidR="000A3C75" w:rsidRDefault="000A3C75" w:rsidP="00F763D2">
      <w:r>
        <w:separator/>
      </w:r>
    </w:p>
  </w:footnote>
  <w:footnote w:type="continuationSeparator" w:id="0">
    <w:p w14:paraId="495D3454" w14:textId="77777777" w:rsidR="000A3C75" w:rsidRDefault="000A3C75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029F"/>
    <w:rsid w:val="00015EA4"/>
    <w:rsid w:val="000211A9"/>
    <w:rsid w:val="0003193A"/>
    <w:rsid w:val="00045EFC"/>
    <w:rsid w:val="000606A0"/>
    <w:rsid w:val="00061910"/>
    <w:rsid w:val="00070A5C"/>
    <w:rsid w:val="00071AA7"/>
    <w:rsid w:val="000A3C75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1F41D1"/>
    <w:rsid w:val="00201E4C"/>
    <w:rsid w:val="00206959"/>
    <w:rsid w:val="0021139B"/>
    <w:rsid w:val="00231F69"/>
    <w:rsid w:val="00234FA0"/>
    <w:rsid w:val="00274C06"/>
    <w:rsid w:val="00280CCF"/>
    <w:rsid w:val="002A06CA"/>
    <w:rsid w:val="002B1F69"/>
    <w:rsid w:val="002B7A99"/>
    <w:rsid w:val="002C0516"/>
    <w:rsid w:val="002C41D4"/>
    <w:rsid w:val="002E2F7C"/>
    <w:rsid w:val="002F702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E7787"/>
    <w:rsid w:val="00646E88"/>
    <w:rsid w:val="006477C8"/>
    <w:rsid w:val="006C0B77"/>
    <w:rsid w:val="006D5E2D"/>
    <w:rsid w:val="006E6F4E"/>
    <w:rsid w:val="006F4086"/>
    <w:rsid w:val="006F51F0"/>
    <w:rsid w:val="0071155F"/>
    <w:rsid w:val="00712DA6"/>
    <w:rsid w:val="00723F2E"/>
    <w:rsid w:val="00724399"/>
    <w:rsid w:val="00727614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0201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6381C"/>
    <w:rsid w:val="00B80987"/>
    <w:rsid w:val="00B915B7"/>
    <w:rsid w:val="00BA15AE"/>
    <w:rsid w:val="00BB71EC"/>
    <w:rsid w:val="00BD06F1"/>
    <w:rsid w:val="00BD5DC1"/>
    <w:rsid w:val="00C0034B"/>
    <w:rsid w:val="00C15E53"/>
    <w:rsid w:val="00C17EA8"/>
    <w:rsid w:val="00C66801"/>
    <w:rsid w:val="00C6786B"/>
    <w:rsid w:val="00CD6B0D"/>
    <w:rsid w:val="00CE5084"/>
    <w:rsid w:val="00D07CF3"/>
    <w:rsid w:val="00D1062F"/>
    <w:rsid w:val="00D51102"/>
    <w:rsid w:val="00D601DA"/>
    <w:rsid w:val="00D8511A"/>
    <w:rsid w:val="00DA7244"/>
    <w:rsid w:val="00DB3AA0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15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92</cp:revision>
  <dcterms:created xsi:type="dcterms:W3CDTF">2022-04-28T12:38:00Z</dcterms:created>
  <dcterms:modified xsi:type="dcterms:W3CDTF">2024-11-11T15:54:00Z</dcterms:modified>
</cp:coreProperties>
</file>