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57" w:rsidRDefault="000F7898" w:rsidP="00224757">
      <w:pPr>
        <w:pStyle w:val="Title"/>
        <w:jc w:val="center"/>
        <w:rPr>
          <w:lang w:val="ru-RU"/>
        </w:rPr>
      </w:pPr>
      <w:r>
        <w:rPr>
          <w:lang w:val="ru-RU"/>
        </w:rPr>
        <w:t>Как измерить точность прогноза</w:t>
      </w:r>
      <w:r w:rsidR="00224757">
        <w:rPr>
          <w:lang w:val="ru-RU"/>
        </w:rPr>
        <w:t xml:space="preserve"> </w:t>
      </w:r>
    </w:p>
    <w:p w:rsidR="00287D1B" w:rsidRDefault="00224757" w:rsidP="00224757">
      <w:pPr>
        <w:pStyle w:val="Title"/>
        <w:jc w:val="center"/>
        <w:rPr>
          <w:lang w:val="ru-RU"/>
        </w:rPr>
      </w:pPr>
      <w:r>
        <w:rPr>
          <w:lang w:val="ru-RU"/>
        </w:rPr>
        <w:t>и с чем его сравнивать</w:t>
      </w:r>
    </w:p>
    <w:p w:rsidR="0010715C" w:rsidRDefault="00E653AF" w:rsidP="00E653AF">
      <w:pPr>
        <w:pStyle w:val="Heading1"/>
        <w:rPr>
          <w:lang w:val="ru-RU"/>
        </w:rPr>
      </w:pPr>
      <w:r>
        <w:rPr>
          <w:lang w:val="ru-RU"/>
        </w:rPr>
        <w:t>Показатели точности прогноза</w:t>
      </w:r>
    </w:p>
    <w:p w:rsidR="00774F4D" w:rsidRPr="00EC3012" w:rsidRDefault="00774F4D" w:rsidP="00774F4D">
      <w:pPr>
        <w:rPr>
          <w:i w:val="0"/>
          <w:lang w:val="ru-RU"/>
        </w:rPr>
      </w:pPr>
      <w:r>
        <w:rPr>
          <w:i w:val="0"/>
          <w:lang w:val="ru-RU"/>
        </w:rPr>
        <w:t xml:space="preserve">В общем виде задача ставится так: оценить прогноз с точки зрения данной функции потерь. Ниже приводятся самые популярные спецификации этой функции. </w:t>
      </w:r>
      <w:r w:rsidR="00D15FBC" w:rsidRPr="00D15FBC">
        <w:rPr>
          <w:i w:val="0"/>
          <w:shd w:val="clear" w:color="auto" w:fill="D6E3BC" w:themeFill="accent3" w:themeFillTint="66"/>
          <w:lang w:val="ru-RU"/>
        </w:rPr>
        <w:t>Зеленым</w:t>
      </w:r>
      <w:r w:rsidR="00D15FBC">
        <w:rPr>
          <w:i w:val="0"/>
          <w:lang w:val="ru-RU"/>
        </w:rPr>
        <w:t xml:space="preserve"> отмечены показатели, присутствующие в выдаче </w:t>
      </w:r>
      <w:r w:rsidR="00D15FBC">
        <w:rPr>
          <w:i w:val="0"/>
        </w:rPr>
        <w:t>Eviews</w:t>
      </w:r>
      <w:r w:rsidR="00C32DB7">
        <w:rPr>
          <w:i w:val="0"/>
          <w:lang w:val="ru-RU"/>
        </w:rPr>
        <w:t xml:space="preserve"> 10</w:t>
      </w:r>
      <w:bookmarkStart w:id="0" w:name="_GoBack"/>
      <w:bookmarkEnd w:id="0"/>
      <w:r w:rsidR="00D15FBC" w:rsidRPr="00EC3012">
        <w:rPr>
          <w:i w:val="0"/>
          <w:lang w:val="ru-RU"/>
        </w:rPr>
        <w:t>.</w:t>
      </w:r>
    </w:p>
    <w:tbl>
      <w:tblPr>
        <w:tblStyle w:val="LightList"/>
        <w:tblW w:w="14256" w:type="dxa"/>
        <w:tblLook w:val="04A0" w:firstRow="1" w:lastRow="0" w:firstColumn="1" w:lastColumn="0" w:noHBand="0" w:noVBand="1"/>
      </w:tblPr>
      <w:tblGrid>
        <w:gridCol w:w="458"/>
        <w:gridCol w:w="2625"/>
        <w:gridCol w:w="3546"/>
        <w:gridCol w:w="2790"/>
        <w:gridCol w:w="2034"/>
        <w:gridCol w:w="2803"/>
      </w:tblGrid>
      <w:tr w:rsidR="000F7898" w:rsidTr="000E2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0F7898" w:rsidRPr="000F7898" w:rsidRDefault="000F7898" w:rsidP="0010715C">
            <w:pPr>
              <w:jc w:val="center"/>
              <w:rPr>
                <w:i w:val="0"/>
                <w:lang w:val="ru-RU"/>
              </w:rPr>
            </w:pPr>
            <w:r w:rsidRPr="000F7898">
              <w:rPr>
                <w:i w:val="0"/>
                <w:lang w:val="ru-RU"/>
              </w:rPr>
              <w:t>№</w:t>
            </w:r>
          </w:p>
        </w:tc>
        <w:tc>
          <w:tcPr>
            <w:tcW w:w="2625" w:type="dxa"/>
          </w:tcPr>
          <w:p w:rsidR="000F7898" w:rsidRPr="000F7898" w:rsidRDefault="000F7898" w:rsidP="00107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 w:rsidRPr="000F7898">
              <w:rPr>
                <w:i w:val="0"/>
                <w:lang w:val="ru-RU"/>
              </w:rPr>
              <w:t>Показатель</w:t>
            </w:r>
          </w:p>
        </w:tc>
        <w:tc>
          <w:tcPr>
            <w:tcW w:w="3546" w:type="dxa"/>
          </w:tcPr>
          <w:p w:rsidR="000F7898" w:rsidRPr="000F7898" w:rsidRDefault="000F7898" w:rsidP="00107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 w:rsidRPr="000F7898">
              <w:rPr>
                <w:i w:val="0"/>
                <w:lang w:val="ru-RU"/>
              </w:rPr>
              <w:t>Формула</w:t>
            </w:r>
          </w:p>
        </w:tc>
        <w:tc>
          <w:tcPr>
            <w:tcW w:w="2790" w:type="dxa"/>
          </w:tcPr>
          <w:p w:rsidR="00D83580" w:rsidRDefault="000F7898" w:rsidP="00107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 w:rsidRPr="000F7898">
              <w:rPr>
                <w:i w:val="0"/>
                <w:lang w:val="ru-RU"/>
              </w:rPr>
              <w:t>Когда</w:t>
            </w:r>
            <w:r w:rsidR="00D83580">
              <w:rPr>
                <w:i w:val="0"/>
                <w:lang w:val="ru-RU"/>
              </w:rPr>
              <w:t xml:space="preserve"> / для чего</w:t>
            </w:r>
          </w:p>
          <w:p w:rsidR="000F7898" w:rsidRPr="000F7898" w:rsidRDefault="000F7898" w:rsidP="00107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 w:rsidRPr="000F7898">
              <w:rPr>
                <w:i w:val="0"/>
                <w:lang w:val="ru-RU"/>
              </w:rPr>
              <w:t xml:space="preserve"> используется</w:t>
            </w:r>
          </w:p>
        </w:tc>
        <w:tc>
          <w:tcPr>
            <w:tcW w:w="2034" w:type="dxa"/>
          </w:tcPr>
          <w:p w:rsidR="000F7898" w:rsidRPr="000F7898" w:rsidRDefault="000F7898" w:rsidP="00107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Преимущества</w:t>
            </w:r>
          </w:p>
        </w:tc>
        <w:tc>
          <w:tcPr>
            <w:tcW w:w="2803" w:type="dxa"/>
          </w:tcPr>
          <w:p w:rsidR="000F7898" w:rsidRPr="000F7898" w:rsidRDefault="000F7898" w:rsidP="00107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 w:rsidRPr="000F7898">
              <w:rPr>
                <w:i w:val="0"/>
                <w:lang w:val="ru-RU"/>
              </w:rPr>
              <w:t>Недостатки</w:t>
            </w:r>
          </w:p>
        </w:tc>
      </w:tr>
      <w:tr w:rsidR="00224757" w:rsidRPr="00EC3012" w:rsidTr="000E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224757" w:rsidRPr="0010715C" w:rsidRDefault="00224757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1</w:t>
            </w:r>
          </w:p>
        </w:tc>
        <w:tc>
          <w:tcPr>
            <w:tcW w:w="2625" w:type="dxa"/>
          </w:tcPr>
          <w:p w:rsidR="00224757" w:rsidRDefault="00520961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BIAS, ME</w:t>
            </w:r>
          </w:p>
          <w:p w:rsidR="00520961" w:rsidRPr="00224757" w:rsidRDefault="00520961" w:rsidP="0052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(bias, mean error)</w:t>
            </w:r>
          </w:p>
        </w:tc>
        <w:tc>
          <w:tcPr>
            <w:tcW w:w="3546" w:type="dxa"/>
          </w:tcPr>
          <w:p w:rsidR="00224757" w:rsidRPr="000E2FF8" w:rsidRDefault="00224757" w:rsidP="00224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BIAS=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e>
                </m:nary>
              </m:oMath>
            </m:oMathPara>
          </w:p>
          <w:p w:rsidR="000E2FF8" w:rsidRPr="000E2FF8" w:rsidRDefault="000E2FF8" w:rsidP="00224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:rsidR="00224757" w:rsidRPr="0010715C" w:rsidRDefault="000E2FF8" w:rsidP="000E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BIAS=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nary>
              </m:oMath>
            </m:oMathPara>
          </w:p>
        </w:tc>
        <w:tc>
          <w:tcPr>
            <w:tcW w:w="2790" w:type="dxa"/>
          </w:tcPr>
          <w:p w:rsidR="00224757" w:rsidRPr="005D2261" w:rsidRDefault="005D2261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Чем меньше, тем лучше прогноз</w:t>
            </w:r>
          </w:p>
        </w:tc>
        <w:tc>
          <w:tcPr>
            <w:tcW w:w="2034" w:type="dxa"/>
          </w:tcPr>
          <w:p w:rsidR="00224757" w:rsidRPr="005D2261" w:rsidRDefault="00224757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</w:tcPr>
          <w:p w:rsidR="00224757" w:rsidRPr="005D2261" w:rsidRDefault="00224757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675B69" w:rsidRPr="00EC3012" w:rsidTr="000E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675B69" w:rsidRPr="005D2261" w:rsidRDefault="00675B69" w:rsidP="00E2281C">
            <w:pPr>
              <w:jc w:val="both"/>
              <w:rPr>
                <w:i w:val="0"/>
              </w:rPr>
            </w:pPr>
            <w:r w:rsidRPr="005D2261">
              <w:rPr>
                <w:i w:val="0"/>
              </w:rPr>
              <w:t>2</w:t>
            </w:r>
          </w:p>
        </w:tc>
        <w:tc>
          <w:tcPr>
            <w:tcW w:w="2625" w:type="dxa"/>
          </w:tcPr>
          <w:p w:rsidR="00675B69" w:rsidRDefault="00EE6A2A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MPE</w:t>
            </w:r>
          </w:p>
          <w:p w:rsidR="00EE6A2A" w:rsidRDefault="00EE6A2A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(mean percentage error)</w:t>
            </w:r>
          </w:p>
        </w:tc>
        <w:tc>
          <w:tcPr>
            <w:tcW w:w="3546" w:type="dxa"/>
          </w:tcPr>
          <w:p w:rsidR="00EE6A2A" w:rsidRPr="000E2FF8" w:rsidRDefault="00EE6A2A" w:rsidP="00EE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MPE=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nary>
              </m:oMath>
            </m:oMathPara>
          </w:p>
          <w:p w:rsidR="00675B69" w:rsidRDefault="00675B69" w:rsidP="00224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  <w:tc>
          <w:tcPr>
            <w:tcW w:w="2790" w:type="dxa"/>
          </w:tcPr>
          <w:p w:rsidR="00675B69" w:rsidRDefault="00E05433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Чем меньше, тем лучше прогноз</w:t>
            </w:r>
          </w:p>
        </w:tc>
        <w:tc>
          <w:tcPr>
            <w:tcW w:w="2034" w:type="dxa"/>
          </w:tcPr>
          <w:p w:rsidR="00675B69" w:rsidRPr="005D2261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</w:tcPr>
          <w:p w:rsidR="00675B69" w:rsidRPr="005D2261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675B69" w:rsidRPr="00EC3012" w:rsidTr="00D1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shd w:val="clear" w:color="auto" w:fill="D6E3BC" w:themeFill="accent3" w:themeFillTint="66"/>
          </w:tcPr>
          <w:p w:rsidR="00675B69" w:rsidRPr="0010715C" w:rsidRDefault="00675B69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3</w:t>
            </w:r>
          </w:p>
        </w:tc>
        <w:tc>
          <w:tcPr>
            <w:tcW w:w="2625" w:type="dxa"/>
            <w:shd w:val="clear" w:color="auto" w:fill="D6E3BC" w:themeFill="accent3" w:themeFillTint="66"/>
          </w:tcPr>
          <w:p w:rsidR="00675B69" w:rsidRPr="0010715C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MAE</w:t>
            </w:r>
            <w:r w:rsidRPr="00923651">
              <w:rPr>
                <w:i w:val="0"/>
              </w:rPr>
              <w:t xml:space="preserve">, </w:t>
            </w:r>
            <w:r>
              <w:rPr>
                <w:i w:val="0"/>
              </w:rPr>
              <w:t xml:space="preserve">MAD </w:t>
            </w:r>
          </w:p>
          <w:p w:rsidR="00675B69" w:rsidRDefault="00675B69" w:rsidP="00AC64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(mean absolute error</w:t>
            </w:r>
            <w:r w:rsidRPr="00AC6418">
              <w:rPr>
                <w:i w:val="0"/>
              </w:rPr>
              <w:t xml:space="preserve">, </w:t>
            </w:r>
            <w:r>
              <w:rPr>
                <w:i w:val="0"/>
              </w:rPr>
              <w:t>mean absolute deviation)</w:t>
            </w:r>
          </w:p>
        </w:tc>
        <w:tc>
          <w:tcPr>
            <w:tcW w:w="3546" w:type="dxa"/>
            <w:shd w:val="clear" w:color="auto" w:fill="D6E3BC" w:themeFill="accent3" w:themeFillTint="66"/>
          </w:tcPr>
          <w:p w:rsidR="00675B69" w:rsidRPr="005D2261" w:rsidRDefault="00675B69" w:rsidP="00107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MAE=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</m:e>
                </m:nary>
              </m:oMath>
            </m:oMathPara>
          </w:p>
          <w:p w:rsidR="00675B69" w:rsidRPr="005D2261" w:rsidRDefault="00675B69" w:rsidP="00107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MAE=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2790" w:type="dxa"/>
            <w:shd w:val="clear" w:color="auto" w:fill="D6E3BC" w:themeFill="accent3" w:themeFillTint="66"/>
          </w:tcPr>
          <w:p w:rsidR="00675B69" w:rsidRPr="0010715C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Ц</w:t>
            </w:r>
            <w:r w:rsidRPr="0010715C">
              <w:rPr>
                <w:i w:val="0"/>
                <w:lang w:val="ru-RU"/>
              </w:rPr>
              <w:t>ена ошибки пропорциональна величине ошибки</w:t>
            </w:r>
            <w:r>
              <w:rPr>
                <w:i w:val="0"/>
                <w:lang w:val="ru-RU"/>
              </w:rPr>
              <w:t>. Чем меньше, тем лучше прогноз</w:t>
            </w:r>
          </w:p>
        </w:tc>
        <w:tc>
          <w:tcPr>
            <w:tcW w:w="2034" w:type="dxa"/>
            <w:shd w:val="clear" w:color="auto" w:fill="D6E3BC" w:themeFill="accent3" w:themeFillTint="66"/>
          </w:tcPr>
          <w:p w:rsidR="00675B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Низкая чувствительность к выбросам</w:t>
            </w:r>
          </w:p>
          <w:p w:rsidR="00675B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  <w:shd w:val="clear" w:color="auto" w:fill="D6E3BC" w:themeFill="accent3" w:themeFillTint="66"/>
          </w:tcPr>
          <w:p w:rsidR="00675B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Чувствительность к единицам измерения</w:t>
            </w:r>
          </w:p>
          <w:p w:rsidR="00675B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  <w:p w:rsidR="00675B69" w:rsidRPr="0010715C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Не различает ошибки в одну сторону и в разные стороны</w:t>
            </w:r>
          </w:p>
        </w:tc>
      </w:tr>
      <w:tr w:rsidR="00675B69" w:rsidRPr="00EC3012" w:rsidTr="00D1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shd w:val="clear" w:color="auto" w:fill="D6E3BC" w:themeFill="accent3" w:themeFillTint="66"/>
          </w:tcPr>
          <w:p w:rsidR="00675B69" w:rsidRPr="0010715C" w:rsidRDefault="00675B69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4</w:t>
            </w:r>
          </w:p>
        </w:tc>
        <w:tc>
          <w:tcPr>
            <w:tcW w:w="2625" w:type="dxa"/>
            <w:shd w:val="clear" w:color="auto" w:fill="D6E3BC" w:themeFill="accent3" w:themeFillTint="66"/>
          </w:tcPr>
          <w:p w:rsidR="00675B69" w:rsidRPr="00675B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MAPE </w:t>
            </w:r>
          </w:p>
          <w:p w:rsidR="00675B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(mean absolute percentage error)</w:t>
            </w:r>
          </w:p>
        </w:tc>
        <w:tc>
          <w:tcPr>
            <w:tcW w:w="3546" w:type="dxa"/>
            <w:shd w:val="clear" w:color="auto" w:fill="D6E3BC" w:themeFill="accent3" w:themeFillTint="66"/>
          </w:tcPr>
          <w:p w:rsidR="00675B69" w:rsidRPr="00675B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  <w:p w:rsidR="00675B69" w:rsidRPr="000F7898" w:rsidRDefault="00675B69" w:rsidP="000F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MAPE=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675B69" w:rsidRPr="000F7898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790" w:type="dxa"/>
            <w:shd w:val="clear" w:color="auto" w:fill="D6E3BC" w:themeFill="accent3" w:themeFillTint="66"/>
          </w:tcPr>
          <w:p w:rsidR="00675B69" w:rsidRPr="000F7898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lastRenderedPageBreak/>
              <w:t xml:space="preserve">Цена ошибки сильнее связана с процентным выражением ошибки, а </w:t>
            </w:r>
            <w:r>
              <w:rPr>
                <w:i w:val="0"/>
                <w:lang w:val="ru-RU"/>
              </w:rPr>
              <w:lastRenderedPageBreak/>
              <w:t>не с ее абсолютным значением. Чем меньше, тем лучше прогноз</w:t>
            </w:r>
          </w:p>
        </w:tc>
        <w:tc>
          <w:tcPr>
            <w:tcW w:w="2034" w:type="dxa"/>
            <w:shd w:val="clear" w:color="auto" w:fill="D6E3BC" w:themeFill="accent3" w:themeFillTint="66"/>
          </w:tcPr>
          <w:p w:rsidR="00675B69" w:rsidRPr="000F7898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lastRenderedPageBreak/>
              <w:t>Безразмерность</w:t>
            </w:r>
          </w:p>
        </w:tc>
        <w:tc>
          <w:tcPr>
            <w:tcW w:w="2803" w:type="dxa"/>
            <w:shd w:val="clear" w:color="auto" w:fill="D6E3BC" w:themeFill="accent3" w:themeFillTint="66"/>
          </w:tcPr>
          <w:p w:rsidR="00675B69" w:rsidRDefault="003C2110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Может быть рассчитана только для положительных значений</w:t>
            </w:r>
          </w:p>
          <w:p w:rsidR="00675B69" w:rsidRDefault="00675B69" w:rsidP="000F78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  <w:p w:rsidR="00675B69" w:rsidRPr="000F7898" w:rsidRDefault="00675B69" w:rsidP="000F78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Больший штраф за положительные ошибки</w:t>
            </w:r>
            <w:r>
              <w:rPr>
                <w:rStyle w:val="FootnoteReference"/>
                <w:i w:val="0"/>
                <w:lang w:val="ru-RU"/>
              </w:rPr>
              <w:footnoteReference w:id="1"/>
            </w:r>
          </w:p>
        </w:tc>
      </w:tr>
      <w:tr w:rsidR="00675B69" w:rsidRPr="00EC3012" w:rsidTr="000E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675B69" w:rsidRDefault="00675B69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lastRenderedPageBreak/>
              <w:t>5</w:t>
            </w:r>
          </w:p>
        </w:tc>
        <w:tc>
          <w:tcPr>
            <w:tcW w:w="2625" w:type="dxa"/>
          </w:tcPr>
          <w:p w:rsidR="00675B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SE</w:t>
            </w:r>
          </w:p>
          <w:p w:rsidR="00675B69" w:rsidRDefault="00675B69" w:rsidP="00EC30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(standard error</w:t>
            </w:r>
            <w:r w:rsidR="00EC3012">
              <w:rPr>
                <w:rStyle w:val="FootnoteReference"/>
                <w:i w:val="0"/>
              </w:rPr>
              <w:footnoteReference w:id="2"/>
            </w:r>
            <w:r>
              <w:rPr>
                <w:i w:val="0"/>
              </w:rPr>
              <w:t>)</w:t>
            </w:r>
            <w:r w:rsidR="00EC3012">
              <w:rPr>
                <w:rStyle w:val="FootnoteReference"/>
                <w:i w:val="0"/>
              </w:rPr>
              <w:t xml:space="preserve"> </w:t>
            </w:r>
          </w:p>
        </w:tc>
        <w:tc>
          <w:tcPr>
            <w:tcW w:w="3546" w:type="dxa"/>
          </w:tcPr>
          <w:p w:rsidR="00675B69" w:rsidRPr="00BC6516" w:rsidRDefault="00675B69" w:rsidP="000E2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-y-BIAS)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675B69" w:rsidRPr="00933AD0" w:rsidRDefault="00675B69" w:rsidP="000E2F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SE=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  <w:p w:rsidR="00675B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790" w:type="dxa"/>
          </w:tcPr>
          <w:p w:rsidR="00675B69" w:rsidRDefault="00451F81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 xml:space="preserve">Нижняя граница доверительного интервала прогноза. </w:t>
            </w:r>
            <w:r w:rsidR="00675B69">
              <w:rPr>
                <w:i w:val="0"/>
                <w:lang w:val="ru-RU"/>
              </w:rPr>
              <w:t>Чем меньше, тем лучше прогноз</w:t>
            </w:r>
            <w:r>
              <w:rPr>
                <w:i w:val="0"/>
                <w:lang w:val="ru-RU"/>
              </w:rPr>
              <w:t xml:space="preserve"> (но </w:t>
            </w:r>
            <w:r w:rsidR="00D615BB">
              <w:rPr>
                <w:i w:val="0"/>
                <w:lang w:val="ru-RU"/>
              </w:rPr>
              <w:t xml:space="preserve">минимизация – не самоцель; </w:t>
            </w:r>
            <w:r w:rsidR="00D615BB">
              <w:rPr>
                <w:i w:val="0"/>
              </w:rPr>
              <w:t>SE</w:t>
            </w:r>
            <w:r w:rsidR="00D615BB" w:rsidRPr="003C2110">
              <w:rPr>
                <w:i w:val="0"/>
                <w:lang w:val="ru-RU"/>
              </w:rPr>
              <w:t xml:space="preserve"> </w:t>
            </w:r>
            <w:r>
              <w:rPr>
                <w:i w:val="0"/>
                <w:lang w:val="ru-RU"/>
              </w:rPr>
              <w:t>должна быть реалистичной!)</w:t>
            </w:r>
          </w:p>
        </w:tc>
        <w:tc>
          <w:tcPr>
            <w:tcW w:w="2034" w:type="dxa"/>
          </w:tcPr>
          <w:p w:rsidR="00675B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</w:tcPr>
          <w:p w:rsidR="00675B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675B69" w:rsidRPr="00EC3012" w:rsidTr="000E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675B69" w:rsidRDefault="00675B69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6</w:t>
            </w:r>
          </w:p>
        </w:tc>
        <w:tc>
          <w:tcPr>
            <w:tcW w:w="2625" w:type="dxa"/>
          </w:tcPr>
          <w:p w:rsidR="00675B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MSE</w:t>
            </w:r>
          </w:p>
          <w:p w:rsidR="00675B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(mean-square-</w:t>
            </w:r>
            <w:r w:rsidRPr="00933AD0">
              <w:rPr>
                <w:i w:val="0"/>
              </w:rPr>
              <w:t>error)</w:t>
            </w:r>
          </w:p>
        </w:tc>
        <w:tc>
          <w:tcPr>
            <w:tcW w:w="3546" w:type="dxa"/>
          </w:tcPr>
          <w:p w:rsidR="00675B69" w:rsidRPr="00BC6516" w:rsidRDefault="00675B69" w:rsidP="00BC6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-y)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675B69" w:rsidRDefault="00675B69" w:rsidP="00BC6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m:oMath>
              <m:r>
                <w:rPr>
                  <w:rFonts w:ascii="Cambria Math" w:hAnsi="Cambria Math"/>
                </w:rPr>
                <m:t>MSE=</m:t>
              </m:r>
            </m:oMath>
            <w:r>
              <w:rPr>
                <w:i w:val="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BIAS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75B69" w:rsidRDefault="00675B69" w:rsidP="00BC6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BIAS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+2(1-r)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:rsidR="00675B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Чем меньше, тем лучше прогноз</w:t>
            </w:r>
          </w:p>
        </w:tc>
        <w:tc>
          <w:tcPr>
            <w:tcW w:w="2034" w:type="dxa"/>
          </w:tcPr>
          <w:p w:rsidR="00675B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</w:tcPr>
          <w:p w:rsidR="00675B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675B69" w:rsidRPr="00EC3012" w:rsidTr="00D1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shd w:val="clear" w:color="auto" w:fill="D6E3BC" w:themeFill="accent3" w:themeFillTint="66"/>
          </w:tcPr>
          <w:p w:rsidR="00675B69" w:rsidRDefault="00675B69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7</w:t>
            </w:r>
          </w:p>
        </w:tc>
        <w:tc>
          <w:tcPr>
            <w:tcW w:w="2625" w:type="dxa"/>
            <w:shd w:val="clear" w:color="auto" w:fill="D6E3BC" w:themeFill="accent3" w:themeFillTint="66"/>
          </w:tcPr>
          <w:p w:rsidR="00675B69" w:rsidRPr="000E2FF8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 w:rsidRPr="00933AD0">
              <w:rPr>
                <w:i w:val="0"/>
              </w:rPr>
              <w:t xml:space="preserve">RMSE </w:t>
            </w:r>
          </w:p>
          <w:p w:rsidR="00675B69" w:rsidRPr="00933AD0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(root-mean-square-</w:t>
            </w:r>
            <w:r w:rsidRPr="00933AD0">
              <w:rPr>
                <w:i w:val="0"/>
              </w:rPr>
              <w:t>error)</w:t>
            </w:r>
          </w:p>
        </w:tc>
        <w:tc>
          <w:tcPr>
            <w:tcW w:w="3546" w:type="dxa"/>
            <w:shd w:val="clear" w:color="auto" w:fill="D6E3BC" w:themeFill="accent3" w:themeFillTint="66"/>
          </w:tcPr>
          <w:p w:rsidR="00675B69" w:rsidRPr="00933AD0" w:rsidRDefault="00675B69" w:rsidP="00FB28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RMSE=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675B69" w:rsidRDefault="00675B69" w:rsidP="00FB28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</w:p>
          <w:p w:rsidR="00675B69" w:rsidRPr="00933AD0" w:rsidRDefault="00675B69" w:rsidP="00BC65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</w:p>
        </w:tc>
        <w:tc>
          <w:tcPr>
            <w:tcW w:w="2790" w:type="dxa"/>
            <w:shd w:val="clear" w:color="auto" w:fill="D6E3BC" w:themeFill="accent3" w:themeFillTint="66"/>
          </w:tcPr>
          <w:p w:rsidR="00675B69" w:rsidRPr="00933AD0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Ц</w:t>
            </w:r>
            <w:r w:rsidRPr="00933AD0">
              <w:rPr>
                <w:i w:val="0"/>
                <w:lang w:val="ru-RU"/>
              </w:rPr>
              <w:t>ена ошибки растет как квадрат ее значения</w:t>
            </w:r>
            <w:r>
              <w:rPr>
                <w:i w:val="0"/>
                <w:lang w:val="ru-RU"/>
              </w:rPr>
              <w:t xml:space="preserve"> (пример: квадратичная функция потерь). Чем меньше, тем лучше прогноз</w:t>
            </w:r>
          </w:p>
        </w:tc>
        <w:tc>
          <w:tcPr>
            <w:tcW w:w="2034" w:type="dxa"/>
            <w:shd w:val="clear" w:color="auto" w:fill="D6E3BC" w:themeFill="accent3" w:themeFillTint="66"/>
          </w:tcPr>
          <w:p w:rsidR="00675B69" w:rsidRPr="00933AD0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 w:rsidRPr="007A7069">
              <w:rPr>
                <w:i w:val="0"/>
                <w:lang w:val="ru-RU"/>
              </w:rPr>
              <w:t>Происходит неявное взвешивание ошибок: бόльшие ошибки имеют больший вес</w:t>
            </w:r>
          </w:p>
        </w:tc>
        <w:tc>
          <w:tcPr>
            <w:tcW w:w="2803" w:type="dxa"/>
            <w:shd w:val="clear" w:color="auto" w:fill="D6E3BC" w:themeFill="accent3" w:themeFillTint="66"/>
          </w:tcPr>
          <w:p w:rsidR="00675B69" w:rsidRDefault="00675B69" w:rsidP="007A70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 xml:space="preserve">Чувствительность к единицам измерения </w:t>
            </w:r>
          </w:p>
          <w:p w:rsidR="00675B69" w:rsidRDefault="00675B69" w:rsidP="007A70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  <w:p w:rsidR="00675B69" w:rsidRDefault="00675B69" w:rsidP="007A70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Высокая чувствительность к выбросам</w:t>
            </w:r>
          </w:p>
          <w:p w:rsidR="00675B69" w:rsidRPr="00933AD0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675B69" w:rsidRPr="00933AD0" w:rsidTr="00D1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shd w:val="clear" w:color="auto" w:fill="D6E3BC" w:themeFill="accent3" w:themeFillTint="66"/>
          </w:tcPr>
          <w:p w:rsidR="00675B69" w:rsidRPr="00BC6516" w:rsidRDefault="00675B69" w:rsidP="00E2281C">
            <w:pPr>
              <w:jc w:val="both"/>
              <w:rPr>
                <w:i w:val="0"/>
              </w:rPr>
            </w:pPr>
            <w:r>
              <w:rPr>
                <w:i w:val="0"/>
              </w:rPr>
              <w:t>8</w:t>
            </w:r>
          </w:p>
        </w:tc>
        <w:tc>
          <w:tcPr>
            <w:tcW w:w="2625" w:type="dxa"/>
            <w:shd w:val="clear" w:color="auto" w:fill="D6E3BC" w:themeFill="accent3" w:themeFillTint="66"/>
          </w:tcPr>
          <w:p w:rsidR="00675B69" w:rsidRPr="00933AD0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BIAS proportion</w:t>
            </w:r>
          </w:p>
        </w:tc>
        <w:tc>
          <w:tcPr>
            <w:tcW w:w="3546" w:type="dxa"/>
            <w:shd w:val="clear" w:color="auto" w:fill="D6E3BC" w:themeFill="accent3" w:themeFillTint="66"/>
          </w:tcPr>
          <w:p w:rsidR="00675B69" w:rsidRDefault="00C32DB7" w:rsidP="00471D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BIAS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790" w:type="dxa"/>
            <w:shd w:val="clear" w:color="auto" w:fill="D6E3BC" w:themeFill="accent3" w:themeFillTint="66"/>
          </w:tcPr>
          <w:p w:rsidR="00675B69" w:rsidRPr="00471DEA" w:rsidRDefault="00675B69" w:rsidP="00D835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Дает представление о расстоянии между средним прогноза и средним фактического ряда. Чем меньше, тем лучше прогноз</w:t>
            </w:r>
          </w:p>
        </w:tc>
        <w:tc>
          <w:tcPr>
            <w:tcW w:w="2034" w:type="dxa"/>
            <w:shd w:val="clear" w:color="auto" w:fill="D6E3BC" w:themeFill="accent3" w:themeFillTint="66"/>
          </w:tcPr>
          <w:p w:rsidR="00675B69" w:rsidRPr="007A70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  <w:shd w:val="clear" w:color="auto" w:fill="D6E3BC" w:themeFill="accent3" w:themeFillTint="66"/>
          </w:tcPr>
          <w:p w:rsidR="00675B69" w:rsidRDefault="00675B69" w:rsidP="007A70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675B69" w:rsidRPr="00933AD0" w:rsidTr="00D1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shd w:val="clear" w:color="auto" w:fill="D6E3BC" w:themeFill="accent3" w:themeFillTint="66"/>
          </w:tcPr>
          <w:p w:rsidR="00675B69" w:rsidRDefault="00675B69" w:rsidP="00E2281C">
            <w:pPr>
              <w:jc w:val="both"/>
              <w:rPr>
                <w:i w:val="0"/>
              </w:rPr>
            </w:pPr>
            <w:r>
              <w:rPr>
                <w:i w:val="0"/>
              </w:rPr>
              <w:lastRenderedPageBreak/>
              <w:t>9</w:t>
            </w:r>
          </w:p>
        </w:tc>
        <w:tc>
          <w:tcPr>
            <w:tcW w:w="2625" w:type="dxa"/>
            <w:shd w:val="clear" w:color="auto" w:fill="D6E3BC" w:themeFill="accent3" w:themeFillTint="66"/>
          </w:tcPr>
          <w:p w:rsidR="00675B69" w:rsidRPr="008B040D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Variance proportion</w:t>
            </w:r>
            <w:r w:rsidR="00EC3012">
              <w:rPr>
                <w:rStyle w:val="FootnoteReference"/>
                <w:i w:val="0"/>
              </w:rPr>
              <w:footnoteReference w:id="3"/>
            </w:r>
          </w:p>
        </w:tc>
        <w:tc>
          <w:tcPr>
            <w:tcW w:w="3546" w:type="dxa"/>
            <w:shd w:val="clear" w:color="auto" w:fill="D6E3BC" w:themeFill="accent3" w:themeFillTint="66"/>
          </w:tcPr>
          <w:p w:rsidR="00675B69" w:rsidRPr="00EB1738" w:rsidRDefault="00C32DB7" w:rsidP="008B0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Variance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790" w:type="dxa"/>
            <w:shd w:val="clear" w:color="auto" w:fill="D6E3BC" w:themeFill="accent3" w:themeFillTint="66"/>
          </w:tcPr>
          <w:p w:rsidR="00675B69" w:rsidRDefault="00675B69" w:rsidP="008B0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Дает представление о расстоянии между дисперсией прогноза и дисперсией фактического ряда. Чем меньше, тем лучше прогноз</w:t>
            </w:r>
          </w:p>
        </w:tc>
        <w:tc>
          <w:tcPr>
            <w:tcW w:w="2034" w:type="dxa"/>
            <w:shd w:val="clear" w:color="auto" w:fill="D6E3BC" w:themeFill="accent3" w:themeFillTint="66"/>
          </w:tcPr>
          <w:p w:rsidR="00675B69" w:rsidRPr="007A70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  <w:shd w:val="clear" w:color="auto" w:fill="D6E3BC" w:themeFill="accent3" w:themeFillTint="66"/>
          </w:tcPr>
          <w:p w:rsidR="00675B69" w:rsidRDefault="00675B69" w:rsidP="007A70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675B69" w:rsidRPr="00EC3012" w:rsidTr="00D1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shd w:val="clear" w:color="auto" w:fill="D6E3BC" w:themeFill="accent3" w:themeFillTint="66"/>
          </w:tcPr>
          <w:p w:rsidR="00675B69" w:rsidRPr="0057098B" w:rsidRDefault="00675B69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10</w:t>
            </w:r>
          </w:p>
        </w:tc>
        <w:tc>
          <w:tcPr>
            <w:tcW w:w="2625" w:type="dxa"/>
            <w:shd w:val="clear" w:color="auto" w:fill="D6E3BC" w:themeFill="accent3" w:themeFillTint="66"/>
          </w:tcPr>
          <w:p w:rsidR="00675B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Covariance proportion</w:t>
            </w:r>
          </w:p>
        </w:tc>
        <w:tc>
          <w:tcPr>
            <w:tcW w:w="3546" w:type="dxa"/>
            <w:shd w:val="clear" w:color="auto" w:fill="D6E3BC" w:themeFill="accent3" w:themeFillTint="66"/>
          </w:tcPr>
          <w:p w:rsidR="00675B69" w:rsidRPr="00EB1738" w:rsidRDefault="00C32DB7" w:rsidP="00D835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Covariance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2(1-r)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790" w:type="dxa"/>
            <w:shd w:val="clear" w:color="auto" w:fill="D6E3BC" w:themeFill="accent3" w:themeFillTint="66"/>
          </w:tcPr>
          <w:p w:rsidR="00675B69" w:rsidRPr="00D83580" w:rsidRDefault="00675B69" w:rsidP="008B04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Дает представление о</w:t>
            </w:r>
            <w:r w:rsidRPr="00D83580">
              <w:rPr>
                <w:i w:val="0"/>
                <w:lang w:val="ru-RU"/>
              </w:rPr>
              <w:t xml:space="preserve"> </w:t>
            </w:r>
            <w:r>
              <w:rPr>
                <w:i w:val="0"/>
                <w:lang w:val="ru-RU"/>
              </w:rPr>
              <w:t>несистематической ошибке прогноза. Чем больше, тем лучше прогноз</w:t>
            </w:r>
          </w:p>
        </w:tc>
        <w:tc>
          <w:tcPr>
            <w:tcW w:w="2034" w:type="dxa"/>
            <w:shd w:val="clear" w:color="auto" w:fill="D6E3BC" w:themeFill="accent3" w:themeFillTint="66"/>
          </w:tcPr>
          <w:p w:rsidR="00675B69" w:rsidRPr="007A7069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  <w:shd w:val="clear" w:color="auto" w:fill="D6E3BC" w:themeFill="accent3" w:themeFillTint="66"/>
          </w:tcPr>
          <w:p w:rsidR="00675B69" w:rsidRDefault="00675B69" w:rsidP="007A70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675B69" w:rsidRPr="00EC3012" w:rsidTr="00D1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shd w:val="clear" w:color="auto" w:fill="D6E3BC" w:themeFill="accent3" w:themeFillTint="66"/>
          </w:tcPr>
          <w:p w:rsidR="00675B69" w:rsidRPr="0057098B" w:rsidRDefault="00675B69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11</w:t>
            </w:r>
          </w:p>
        </w:tc>
        <w:tc>
          <w:tcPr>
            <w:tcW w:w="2625" w:type="dxa"/>
            <w:shd w:val="clear" w:color="auto" w:fill="D6E3BC" w:themeFill="accent3" w:themeFillTint="66"/>
          </w:tcPr>
          <w:p w:rsidR="00675B69" w:rsidRPr="00D83580" w:rsidRDefault="00675B69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</w:rPr>
              <w:t>Theil</w:t>
            </w:r>
            <w:r w:rsidRPr="00D83580">
              <w:rPr>
                <w:i w:val="0"/>
                <w:lang w:val="ru-RU"/>
              </w:rPr>
              <w:t>’</w:t>
            </w:r>
            <w:r>
              <w:rPr>
                <w:i w:val="0"/>
              </w:rPr>
              <w:t>s</w:t>
            </w:r>
            <w:r w:rsidRPr="00D83580">
              <w:rPr>
                <w:i w:val="0"/>
                <w:lang w:val="ru-RU"/>
              </w:rPr>
              <w:t xml:space="preserve"> </w:t>
            </w:r>
            <w:r>
              <w:rPr>
                <w:i w:val="0"/>
              </w:rPr>
              <w:t>U</w:t>
            </w:r>
            <w:r w:rsidRPr="00D83580">
              <w:rPr>
                <w:i w:val="0"/>
                <w:lang w:val="ru-RU"/>
              </w:rPr>
              <w:t>1</w:t>
            </w:r>
          </w:p>
        </w:tc>
        <w:tc>
          <w:tcPr>
            <w:tcW w:w="3546" w:type="dxa"/>
            <w:shd w:val="clear" w:color="auto" w:fill="D6E3BC" w:themeFill="accent3" w:themeFillTint="66"/>
          </w:tcPr>
          <w:p w:rsidR="00675B69" w:rsidRPr="00C673AE" w:rsidRDefault="00675B69" w:rsidP="00C673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ru-RU"/>
                  </w:rPr>
                  <m:t>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  <w:p w:rsidR="00675B69" w:rsidRPr="00933AD0" w:rsidRDefault="00675B69" w:rsidP="00C673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</w:p>
          <w:p w:rsidR="00675B69" w:rsidRPr="0083591B" w:rsidRDefault="00675B69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U1=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RMSE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2790" w:type="dxa"/>
            <w:shd w:val="clear" w:color="auto" w:fill="D6E3BC" w:themeFill="accent3" w:themeFillTint="66"/>
          </w:tcPr>
          <w:p w:rsidR="00675B69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U1=0</m:t>
                </m:r>
              </m:oMath>
            </m:oMathPara>
          </w:p>
          <w:p w:rsidR="00675B69" w:rsidRPr="00C673AE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</w:rPr>
              <w:t xml:space="preserve"> – </w:t>
            </w:r>
            <w:r>
              <w:rPr>
                <w:i w:val="0"/>
                <w:lang w:val="ru-RU"/>
              </w:rPr>
              <w:t>лучший прогноз</w:t>
            </w:r>
          </w:p>
        </w:tc>
        <w:tc>
          <w:tcPr>
            <w:tcW w:w="2034" w:type="dxa"/>
            <w:shd w:val="clear" w:color="auto" w:fill="D6E3BC" w:themeFill="accent3" w:themeFillTint="66"/>
          </w:tcPr>
          <w:p w:rsidR="00675B69" w:rsidRPr="00BE6131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  <w:shd w:val="clear" w:color="auto" w:fill="D6E3BC" w:themeFill="accent3" w:themeFillTint="66"/>
          </w:tcPr>
          <w:p w:rsidR="00675B69" w:rsidRPr="00F652BD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 xml:space="preserve">Меньшая величина в общем случае </w:t>
            </w:r>
            <w:r>
              <w:rPr>
                <w:i w:val="0"/>
              </w:rPr>
              <w:t>U</w:t>
            </w:r>
            <w:r w:rsidRPr="00F652BD">
              <w:rPr>
                <w:i w:val="0"/>
                <w:lang w:val="ru-RU"/>
              </w:rPr>
              <w:t xml:space="preserve">1 </w:t>
            </w:r>
            <w:r>
              <w:rPr>
                <w:i w:val="0"/>
                <w:lang w:val="ru-RU"/>
              </w:rPr>
              <w:t>не означает, что модель лучше</w:t>
            </w:r>
          </w:p>
        </w:tc>
      </w:tr>
      <w:tr w:rsidR="00675B69" w:rsidRPr="00EC3012" w:rsidTr="000E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675B69" w:rsidRDefault="00675B69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12</w:t>
            </w:r>
          </w:p>
        </w:tc>
        <w:tc>
          <w:tcPr>
            <w:tcW w:w="2625" w:type="dxa"/>
          </w:tcPr>
          <w:p w:rsidR="00675B69" w:rsidRPr="00FB165A" w:rsidRDefault="00675B69" w:rsidP="00E2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Корреляция прогнозов и истинных значений</w:t>
            </w:r>
          </w:p>
        </w:tc>
        <w:tc>
          <w:tcPr>
            <w:tcW w:w="3546" w:type="dxa"/>
          </w:tcPr>
          <w:p w:rsidR="00675B69" w:rsidRPr="0083591B" w:rsidRDefault="00C32DB7" w:rsidP="00E2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675B69">
              <w:rPr>
                <w:i w:val="0"/>
              </w:rPr>
              <w:t xml:space="preserve"> </w:t>
            </w:r>
            <w:r w:rsidR="00675B69">
              <w:rPr>
                <w:i w:val="0"/>
                <w:lang w:val="ru-RU"/>
              </w:rPr>
              <w:t>из</w:t>
            </w:r>
          </w:p>
          <w:p w:rsidR="00675B69" w:rsidRPr="0083591B" w:rsidRDefault="00675B69" w:rsidP="00E2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∆y</m:t>
                </m:r>
                <m:r>
                  <w:rPr>
                    <w:rFonts w:ascii="Cambria Math" w:hAnsi="Cambria Math"/>
                    <w:lang w:val="ru-RU"/>
                  </w:rPr>
                  <m:t>=α+β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+ε</m:t>
                </m:r>
              </m:oMath>
            </m:oMathPara>
          </w:p>
        </w:tc>
        <w:tc>
          <w:tcPr>
            <w:tcW w:w="2790" w:type="dxa"/>
          </w:tcPr>
          <w:p w:rsidR="00675B69" w:rsidRPr="005D2261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 xml:space="preserve">Чем больше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oMath>
            <w:r w:rsidRPr="008216A5">
              <w:rPr>
                <w:i w:val="0"/>
                <w:lang w:val="ru-RU"/>
              </w:rPr>
              <w:t xml:space="preserve"> </w:t>
            </w:r>
            <w:r>
              <w:rPr>
                <w:i w:val="0"/>
                <w:lang w:val="ru-RU"/>
              </w:rPr>
              <w:t xml:space="preserve">, тем лучше </w:t>
            </w:r>
          </w:p>
        </w:tc>
        <w:tc>
          <w:tcPr>
            <w:tcW w:w="2034" w:type="dxa"/>
          </w:tcPr>
          <w:p w:rsidR="00675B69" w:rsidRPr="008216A5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</w:tcPr>
          <w:p w:rsidR="00675B69" w:rsidRPr="008216A5" w:rsidRDefault="00675B69" w:rsidP="00107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675B69" w:rsidRPr="00EC3012" w:rsidTr="000E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675B69" w:rsidRPr="00675B69" w:rsidRDefault="00675B69" w:rsidP="00E2281C">
            <w:pPr>
              <w:jc w:val="both"/>
              <w:rPr>
                <w:i w:val="0"/>
              </w:rPr>
            </w:pPr>
            <w:r>
              <w:rPr>
                <w:i w:val="0"/>
              </w:rPr>
              <w:t>13</w:t>
            </w:r>
          </w:p>
        </w:tc>
        <w:tc>
          <w:tcPr>
            <w:tcW w:w="2625" w:type="dxa"/>
          </w:tcPr>
          <w:p w:rsidR="00675B69" w:rsidRPr="00FB165A" w:rsidRDefault="00675B69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Условная эффективность прогноза</w:t>
            </w:r>
          </w:p>
        </w:tc>
        <w:tc>
          <w:tcPr>
            <w:tcW w:w="3546" w:type="dxa"/>
          </w:tcPr>
          <w:p w:rsidR="00675B69" w:rsidRPr="00E653AF" w:rsidRDefault="00C32DB7" w:rsidP="00E2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α+β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+ε</m:t>
                </m:r>
              </m:oMath>
            </m:oMathPara>
          </w:p>
          <w:p w:rsidR="00675B69" w:rsidRPr="00FB165A" w:rsidRDefault="00C32DB7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:β=0</m:t>
                </m:r>
              </m:oMath>
            </m:oMathPara>
          </w:p>
        </w:tc>
        <w:tc>
          <w:tcPr>
            <w:tcW w:w="2790" w:type="dxa"/>
          </w:tcPr>
          <w:p w:rsidR="00675B69" w:rsidRPr="008216A5" w:rsidRDefault="00C32DB7" w:rsidP="008216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="00675B69">
              <w:rPr>
                <w:i w:val="0"/>
                <w:lang w:val="ru-RU"/>
              </w:rPr>
              <w:t xml:space="preserve"> </w:t>
            </w:r>
            <w:r w:rsidR="00675B69" w:rsidRPr="008216A5">
              <w:rPr>
                <w:i w:val="0"/>
              </w:rPr>
              <w:sym w:font="Wingdings" w:char="F0F3"/>
            </w:r>
            <w:r w:rsidR="00675B69">
              <w:rPr>
                <w:i w:val="0"/>
                <w:lang w:val="ru-RU"/>
              </w:rPr>
              <w:t xml:space="preserve"> прогноз дает новую информацию</w:t>
            </w:r>
          </w:p>
        </w:tc>
        <w:tc>
          <w:tcPr>
            <w:tcW w:w="2034" w:type="dxa"/>
          </w:tcPr>
          <w:p w:rsidR="00675B69" w:rsidRPr="00FB165A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803" w:type="dxa"/>
          </w:tcPr>
          <w:p w:rsidR="00675B69" w:rsidRPr="00FB165A" w:rsidRDefault="00675B69" w:rsidP="00107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</w:tbl>
    <w:p w:rsidR="00E653AF" w:rsidRPr="00EC3012" w:rsidRDefault="00E653AF" w:rsidP="0010715C">
      <w:pPr>
        <w:jc w:val="both"/>
        <w:rPr>
          <w:i w:val="0"/>
          <w:lang w:val="ru-RU"/>
        </w:rPr>
      </w:pPr>
    </w:p>
    <w:p w:rsidR="0004742D" w:rsidRPr="00EC3012" w:rsidRDefault="0004742D" w:rsidP="0010715C">
      <w:pPr>
        <w:jc w:val="both"/>
        <w:rPr>
          <w:i w:val="0"/>
          <w:lang w:val="ru-RU"/>
        </w:rPr>
      </w:pPr>
    </w:p>
    <w:p w:rsidR="0004742D" w:rsidRPr="00EC3012" w:rsidRDefault="0004742D" w:rsidP="0010715C">
      <w:pPr>
        <w:jc w:val="both"/>
        <w:rPr>
          <w:i w:val="0"/>
          <w:lang w:val="ru-RU"/>
        </w:rPr>
      </w:pPr>
    </w:p>
    <w:p w:rsidR="0004742D" w:rsidRPr="00EC3012" w:rsidRDefault="0004742D" w:rsidP="0010715C">
      <w:pPr>
        <w:jc w:val="both"/>
        <w:rPr>
          <w:i w:val="0"/>
          <w:lang w:val="ru-RU"/>
        </w:rPr>
      </w:pPr>
    </w:p>
    <w:p w:rsidR="0004742D" w:rsidRDefault="0004742D" w:rsidP="0004742D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Ориентиры </w:t>
      </w:r>
      <w:r w:rsidR="00F97404">
        <w:t>(</w:t>
      </w:r>
      <w:r w:rsidR="00F97404">
        <w:rPr>
          <w:lang w:val="ru-RU"/>
        </w:rPr>
        <w:t xml:space="preserve">бенчмарки) </w:t>
      </w:r>
      <w:r>
        <w:rPr>
          <w:lang w:val="ru-RU"/>
        </w:rPr>
        <w:t>прогноза</w:t>
      </w:r>
    </w:p>
    <w:tbl>
      <w:tblPr>
        <w:tblStyle w:val="LightList"/>
        <w:tblW w:w="14214" w:type="dxa"/>
        <w:tblLook w:val="04A0" w:firstRow="1" w:lastRow="0" w:firstColumn="1" w:lastColumn="0" w:noHBand="0" w:noVBand="1"/>
      </w:tblPr>
      <w:tblGrid>
        <w:gridCol w:w="458"/>
        <w:gridCol w:w="2560"/>
        <w:gridCol w:w="3469"/>
        <w:gridCol w:w="2742"/>
        <w:gridCol w:w="2254"/>
        <w:gridCol w:w="2731"/>
      </w:tblGrid>
      <w:tr w:rsidR="0004742D" w:rsidRPr="000F7898" w:rsidTr="00E2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04742D" w:rsidRPr="000F7898" w:rsidRDefault="0004742D" w:rsidP="00E2281C">
            <w:pPr>
              <w:jc w:val="center"/>
              <w:rPr>
                <w:i w:val="0"/>
                <w:lang w:val="ru-RU"/>
              </w:rPr>
            </w:pPr>
            <w:r w:rsidRPr="000F7898">
              <w:rPr>
                <w:i w:val="0"/>
                <w:lang w:val="ru-RU"/>
              </w:rPr>
              <w:t>№</w:t>
            </w:r>
          </w:p>
        </w:tc>
        <w:tc>
          <w:tcPr>
            <w:tcW w:w="2560" w:type="dxa"/>
          </w:tcPr>
          <w:p w:rsidR="0004742D" w:rsidRPr="000F7898" w:rsidRDefault="0004742D" w:rsidP="00E2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Ориентир</w:t>
            </w:r>
          </w:p>
        </w:tc>
        <w:tc>
          <w:tcPr>
            <w:tcW w:w="3469" w:type="dxa"/>
          </w:tcPr>
          <w:p w:rsidR="0004742D" w:rsidRPr="000F7898" w:rsidRDefault="0004742D" w:rsidP="00E2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 w:rsidRPr="000F7898">
              <w:rPr>
                <w:i w:val="0"/>
                <w:lang w:val="ru-RU"/>
              </w:rPr>
              <w:t>Формула</w:t>
            </w:r>
          </w:p>
        </w:tc>
        <w:tc>
          <w:tcPr>
            <w:tcW w:w="2742" w:type="dxa"/>
          </w:tcPr>
          <w:p w:rsidR="0004742D" w:rsidRPr="00E653AF" w:rsidRDefault="0004742D" w:rsidP="00E2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Критерий</w:t>
            </w:r>
          </w:p>
        </w:tc>
        <w:tc>
          <w:tcPr>
            <w:tcW w:w="2254" w:type="dxa"/>
          </w:tcPr>
          <w:p w:rsidR="0004742D" w:rsidRPr="000F7898" w:rsidRDefault="0004742D" w:rsidP="00E2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Преимущества</w:t>
            </w:r>
          </w:p>
        </w:tc>
        <w:tc>
          <w:tcPr>
            <w:tcW w:w="2731" w:type="dxa"/>
          </w:tcPr>
          <w:p w:rsidR="0004742D" w:rsidRPr="000F7898" w:rsidRDefault="0004742D" w:rsidP="00E2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ru-RU"/>
              </w:rPr>
            </w:pPr>
            <w:r w:rsidRPr="000F7898">
              <w:rPr>
                <w:i w:val="0"/>
                <w:lang w:val="ru-RU"/>
              </w:rPr>
              <w:t>Недостатки</w:t>
            </w:r>
          </w:p>
        </w:tc>
      </w:tr>
      <w:tr w:rsidR="0004742D" w:rsidRPr="00EC3012" w:rsidTr="00E2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04742D" w:rsidRPr="0010715C" w:rsidRDefault="0004742D" w:rsidP="00E2281C">
            <w:pPr>
              <w:jc w:val="both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1</w:t>
            </w:r>
          </w:p>
        </w:tc>
        <w:tc>
          <w:tcPr>
            <w:tcW w:w="2560" w:type="dxa"/>
          </w:tcPr>
          <w:p w:rsidR="0004742D" w:rsidRPr="00E653AF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Случайное блуждание</w:t>
            </w:r>
          </w:p>
        </w:tc>
        <w:tc>
          <w:tcPr>
            <w:tcW w:w="3469" w:type="dxa"/>
          </w:tcPr>
          <w:p w:rsidR="0004742D" w:rsidRPr="0010715C" w:rsidRDefault="00C32DB7" w:rsidP="00E2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0,t-1</m:t>
                    </m:r>
                  </m:sub>
                </m:sSub>
                <m:r>
                  <w:rPr>
                    <w:rFonts w:ascii="Cambria Math" w:hAnsi="Cambria Math"/>
                  </w:rPr>
                  <m:t>+ε</m:t>
                </m:r>
              </m:oMath>
            </m:oMathPara>
          </w:p>
        </w:tc>
        <w:tc>
          <w:tcPr>
            <w:tcW w:w="2742" w:type="dxa"/>
          </w:tcPr>
          <w:p w:rsidR="0004742D" w:rsidRPr="0010715C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>Все перечисленные в таблице показатели точности для данного прогноза сравниваются с показателями для случайного блуждания</w:t>
            </w:r>
          </w:p>
        </w:tc>
        <w:tc>
          <w:tcPr>
            <w:tcW w:w="2254" w:type="dxa"/>
          </w:tcPr>
          <w:p w:rsidR="0004742D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731" w:type="dxa"/>
          </w:tcPr>
          <w:p w:rsidR="0004742D" w:rsidRPr="0010715C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  <w:tr w:rsidR="0004742D" w:rsidRPr="00A54ADE" w:rsidTr="00E2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04742D" w:rsidRPr="00A54ADE" w:rsidRDefault="0004742D" w:rsidP="00E2281C">
            <w:pPr>
              <w:jc w:val="both"/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560" w:type="dxa"/>
          </w:tcPr>
          <w:p w:rsidR="0004742D" w:rsidRDefault="0004742D" w:rsidP="00E2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MASE</w:t>
            </w:r>
          </w:p>
          <w:p w:rsidR="0004742D" w:rsidRPr="00A54ADE" w:rsidRDefault="0004742D" w:rsidP="00E2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(</w:t>
            </w:r>
            <w:r w:rsidRPr="00A54ADE">
              <w:rPr>
                <w:i w:val="0"/>
              </w:rPr>
              <w:t>mean absolute scaled error</w:t>
            </w:r>
            <w:r>
              <w:rPr>
                <w:i w:val="0"/>
              </w:rPr>
              <w:t>)</w:t>
            </w:r>
          </w:p>
        </w:tc>
        <w:tc>
          <w:tcPr>
            <w:tcW w:w="3469" w:type="dxa"/>
          </w:tcPr>
          <w:p w:rsidR="0004742D" w:rsidRPr="00AD1CD6" w:rsidRDefault="0004742D" w:rsidP="00E2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MASE=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MAE(model)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MAE(RW)</m:t>
                    </m:r>
                  </m:den>
                </m:f>
              </m:oMath>
            </m:oMathPara>
          </w:p>
        </w:tc>
        <w:tc>
          <w:tcPr>
            <w:tcW w:w="2742" w:type="dxa"/>
          </w:tcPr>
          <w:p w:rsidR="0004742D" w:rsidRPr="00A54ADE" w:rsidRDefault="0004742D" w:rsidP="00E2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  <w:tc>
          <w:tcPr>
            <w:tcW w:w="2254" w:type="dxa"/>
          </w:tcPr>
          <w:p w:rsidR="0004742D" w:rsidRPr="00A54ADE" w:rsidRDefault="0004742D" w:rsidP="00E2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  <w:tc>
          <w:tcPr>
            <w:tcW w:w="2731" w:type="dxa"/>
          </w:tcPr>
          <w:p w:rsidR="0004742D" w:rsidRPr="00A54ADE" w:rsidRDefault="0004742D" w:rsidP="00E2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</w:tr>
      <w:tr w:rsidR="0004742D" w:rsidRPr="00EC3012" w:rsidTr="00E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shd w:val="clear" w:color="auto" w:fill="C2D69B" w:themeFill="accent3" w:themeFillTint="99"/>
          </w:tcPr>
          <w:p w:rsidR="0004742D" w:rsidRPr="00A54ADE" w:rsidRDefault="0004742D" w:rsidP="00E2281C">
            <w:pPr>
              <w:jc w:val="both"/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2560" w:type="dxa"/>
            <w:shd w:val="clear" w:color="auto" w:fill="C2D69B" w:themeFill="accent3" w:themeFillTint="99"/>
          </w:tcPr>
          <w:p w:rsidR="0004742D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Theil’s U2</w:t>
            </w:r>
          </w:p>
        </w:tc>
        <w:tc>
          <w:tcPr>
            <w:tcW w:w="3469" w:type="dxa"/>
            <w:shd w:val="clear" w:color="auto" w:fill="C2D69B" w:themeFill="accent3" w:themeFillTint="99"/>
          </w:tcPr>
          <w:p w:rsidR="0004742D" w:rsidRPr="00F652BD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U2=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  <w:p w:rsidR="0004742D" w:rsidRPr="00E653AF" w:rsidRDefault="0004742D" w:rsidP="00E2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</w:p>
        </w:tc>
        <w:tc>
          <w:tcPr>
            <w:tcW w:w="2742" w:type="dxa"/>
            <w:shd w:val="clear" w:color="auto" w:fill="C2D69B" w:themeFill="accent3" w:themeFillTint="99"/>
          </w:tcPr>
          <w:p w:rsidR="0004742D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m:oMath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  <w:lang w:val="ru-RU"/>
                </w:rPr>
                <m:t>2=0</m:t>
              </m:r>
            </m:oMath>
            <w:r w:rsidRPr="00983E66">
              <w:rPr>
                <w:i w:val="0"/>
                <w:lang w:val="ru-RU"/>
              </w:rPr>
              <w:t xml:space="preserve"> </w:t>
            </w:r>
            <w:r>
              <w:rPr>
                <w:i w:val="0"/>
                <w:lang w:val="ru-RU"/>
              </w:rPr>
              <w:t>только если ошибки прогноза 0</w:t>
            </w:r>
          </w:p>
          <w:p w:rsidR="0004742D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  <w:p w:rsidR="0004742D" w:rsidRPr="0004742D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m:oMath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  <w:lang w:val="ru-RU"/>
                </w:rPr>
                <m:t>2=1</m:t>
              </m:r>
            </m:oMath>
            <w:r>
              <w:rPr>
                <w:i w:val="0"/>
                <w:lang w:val="ru-RU"/>
              </w:rPr>
              <w:t xml:space="preserve"> если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</m:sSub>
            </m:oMath>
            <w:r>
              <w:rPr>
                <w:i w:val="0"/>
                <w:lang w:val="ru-RU"/>
              </w:rPr>
              <w:t xml:space="preserve"> (т.е. случайное блуждание)</w:t>
            </w:r>
          </w:p>
          <w:p w:rsidR="0004742D" w:rsidRPr="0004742D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  <w:p w:rsidR="0004742D" w:rsidRPr="00207ED5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  <w:r>
              <w:rPr>
                <w:i w:val="0"/>
                <w:lang w:val="ru-RU"/>
              </w:rPr>
              <w:t xml:space="preserve">Чем меньше </w:t>
            </w:r>
            <w:r>
              <w:rPr>
                <w:i w:val="0"/>
              </w:rPr>
              <w:t>U</w:t>
            </w:r>
            <w:r w:rsidRPr="00207ED5">
              <w:rPr>
                <w:i w:val="0"/>
                <w:lang w:val="ru-RU"/>
              </w:rPr>
              <w:t xml:space="preserve">2, </w:t>
            </w:r>
            <w:r>
              <w:rPr>
                <w:i w:val="0"/>
                <w:lang w:val="ru-RU"/>
              </w:rPr>
              <w:t xml:space="preserve">тем лучше модель по сравнению с </w:t>
            </w:r>
            <w:r>
              <w:rPr>
                <w:i w:val="0"/>
              </w:rPr>
              <w:t>RW</w:t>
            </w:r>
          </w:p>
        </w:tc>
        <w:tc>
          <w:tcPr>
            <w:tcW w:w="2254" w:type="dxa"/>
            <w:shd w:val="clear" w:color="auto" w:fill="C2D69B" w:themeFill="accent3" w:themeFillTint="99"/>
          </w:tcPr>
          <w:p w:rsidR="0004742D" w:rsidRPr="00207ED5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  <w:tc>
          <w:tcPr>
            <w:tcW w:w="2731" w:type="dxa"/>
            <w:shd w:val="clear" w:color="auto" w:fill="C2D69B" w:themeFill="accent3" w:themeFillTint="99"/>
          </w:tcPr>
          <w:p w:rsidR="0004742D" w:rsidRDefault="0004742D" w:rsidP="00E2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ru-RU"/>
              </w:rPr>
            </w:pPr>
          </w:p>
        </w:tc>
      </w:tr>
    </w:tbl>
    <w:p w:rsidR="0004742D" w:rsidRPr="0004742D" w:rsidRDefault="0004742D" w:rsidP="0010715C">
      <w:pPr>
        <w:jc w:val="both"/>
        <w:rPr>
          <w:i w:val="0"/>
          <w:lang w:val="ru-RU"/>
        </w:rPr>
      </w:pPr>
    </w:p>
    <w:p w:rsidR="0094016C" w:rsidRDefault="0094016C" w:rsidP="0094016C">
      <w:pPr>
        <w:pStyle w:val="Heading1"/>
        <w:jc w:val="center"/>
        <w:rPr>
          <w:lang w:val="ru-RU"/>
        </w:rPr>
      </w:pPr>
      <w:r w:rsidRPr="0094016C">
        <w:rPr>
          <w:lang w:val="ru-RU"/>
        </w:rPr>
        <w:t>Литература:</w:t>
      </w:r>
    </w:p>
    <w:p w:rsidR="0094016C" w:rsidRPr="0094016C" w:rsidRDefault="0094016C" w:rsidP="0094016C">
      <w:pPr>
        <w:rPr>
          <w:lang w:val="ru-RU"/>
        </w:rPr>
      </w:pPr>
    </w:p>
    <w:p w:rsidR="0094016C" w:rsidRPr="000B70E3" w:rsidRDefault="0094016C" w:rsidP="0094016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Кеннеди П. </w:t>
      </w:r>
      <w:r w:rsidR="00EF0203">
        <w:rPr>
          <w:i w:val="0"/>
          <w:lang w:val="ru-RU"/>
        </w:rPr>
        <w:t xml:space="preserve">(2016). </w:t>
      </w:r>
      <w:r>
        <w:rPr>
          <w:i w:val="0"/>
          <w:lang w:val="ru-RU"/>
        </w:rPr>
        <w:t xml:space="preserve">Путеводитель по эконометрике. – М., РАНХиГС, 2016. Гл. 20. </w:t>
      </w:r>
    </w:p>
    <w:p w:rsidR="000B70E3" w:rsidRPr="000B70E3" w:rsidRDefault="000B70E3" w:rsidP="000B70E3">
      <w:pPr>
        <w:pStyle w:val="ListParagraph"/>
        <w:numPr>
          <w:ilvl w:val="0"/>
          <w:numId w:val="3"/>
        </w:numPr>
      </w:pPr>
      <w:r>
        <w:t xml:space="preserve">Plotnikov S. </w:t>
      </w:r>
      <w:r w:rsidRPr="000B70E3">
        <w:rPr>
          <w:i w:val="0"/>
        </w:rPr>
        <w:t>(201</w:t>
      </w:r>
      <w:r>
        <w:rPr>
          <w:i w:val="0"/>
        </w:rPr>
        <w:t>6</w:t>
      </w:r>
      <w:r w:rsidRPr="000B70E3">
        <w:rPr>
          <w:i w:val="0"/>
        </w:rPr>
        <w:t>)</w:t>
      </w:r>
      <w:r>
        <w:rPr>
          <w:i w:val="0"/>
        </w:rPr>
        <w:t>.</w:t>
      </w:r>
      <w:r w:rsidRPr="000B70E3">
        <w:t xml:space="preserve"> </w:t>
      </w:r>
      <w:r w:rsidRPr="000B70E3">
        <w:rPr>
          <w:i w:val="0"/>
        </w:rPr>
        <w:t>Macroeconometric forecasting</w:t>
      </w:r>
      <w:r>
        <w:rPr>
          <w:i w:val="0"/>
        </w:rPr>
        <w:t xml:space="preserve">. M4 Forecasting uncertainty. / IMF e-course on </w:t>
      </w:r>
      <w:hyperlink r:id="rId8" w:history="1">
        <w:r w:rsidR="00C3240D" w:rsidRPr="002D4A4D">
          <w:rPr>
            <w:rStyle w:val="Hyperlink"/>
            <w:i w:val="0"/>
          </w:rPr>
          <w:t>www.edx.com</w:t>
        </w:r>
      </w:hyperlink>
      <w:r w:rsidR="00C3240D">
        <w:rPr>
          <w:i w:val="0"/>
        </w:rPr>
        <w:t xml:space="preserve"> </w:t>
      </w:r>
      <w:r>
        <w:rPr>
          <w:i w:val="0"/>
        </w:rPr>
        <w:t xml:space="preserve"> </w:t>
      </w:r>
      <w:r w:rsidR="00C3240D">
        <w:rPr>
          <w:i w:val="0"/>
        </w:rPr>
        <w:t xml:space="preserve"> </w:t>
      </w:r>
    </w:p>
    <w:p w:rsidR="000B70E3" w:rsidRPr="009E4B13" w:rsidRDefault="009E4B13" w:rsidP="000B70E3">
      <w:pPr>
        <w:pStyle w:val="ListParagraph"/>
        <w:numPr>
          <w:ilvl w:val="0"/>
          <w:numId w:val="3"/>
        </w:numPr>
        <w:rPr>
          <w:lang w:val="ru-RU"/>
        </w:rPr>
      </w:pPr>
      <w:r w:rsidRPr="00A54ADE">
        <w:rPr>
          <w:lang w:val="ru-RU"/>
        </w:rPr>
        <w:t>Нау Р.</w:t>
      </w:r>
      <w:r>
        <w:rPr>
          <w:i w:val="0"/>
          <w:lang w:val="ru-RU"/>
        </w:rPr>
        <w:t xml:space="preserve"> (2018). Популярные модели прогнозирования. – </w:t>
      </w:r>
      <w:r>
        <w:rPr>
          <w:i w:val="0"/>
        </w:rPr>
        <w:t>VG</w:t>
      </w:r>
      <w:r w:rsidRPr="00F23449">
        <w:rPr>
          <w:i w:val="0"/>
          <w:lang w:val="ru-RU"/>
        </w:rPr>
        <w:t xml:space="preserve"> </w:t>
      </w:r>
      <w:r>
        <w:rPr>
          <w:i w:val="0"/>
        </w:rPr>
        <w:t>production</w:t>
      </w:r>
      <w:r w:rsidRPr="00F23449">
        <w:rPr>
          <w:i w:val="0"/>
          <w:lang w:val="ru-RU"/>
        </w:rPr>
        <w:t xml:space="preserve">. </w:t>
      </w:r>
      <w:r w:rsidR="00F23449">
        <w:rPr>
          <w:i w:val="0"/>
        </w:rPr>
        <w:t>C. 59-61.</w:t>
      </w:r>
    </w:p>
    <w:sectPr w:rsidR="000B70E3" w:rsidRPr="009E4B13" w:rsidSect="0010715C">
      <w:footerReference w:type="default" r:id="rId9"/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91B" w:rsidRDefault="0083591B" w:rsidP="000F7898">
      <w:pPr>
        <w:spacing w:after="0" w:line="240" w:lineRule="auto"/>
      </w:pPr>
      <w:r>
        <w:separator/>
      </w:r>
    </w:p>
  </w:endnote>
  <w:endnote w:type="continuationSeparator" w:id="0">
    <w:p w:rsidR="0083591B" w:rsidRDefault="0083591B" w:rsidP="000F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2248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2BD" w:rsidRDefault="00F652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D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652BD" w:rsidRDefault="00F652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91B" w:rsidRDefault="0083591B" w:rsidP="000F7898">
      <w:pPr>
        <w:spacing w:after="0" w:line="240" w:lineRule="auto"/>
      </w:pPr>
      <w:r>
        <w:separator/>
      </w:r>
    </w:p>
  </w:footnote>
  <w:footnote w:type="continuationSeparator" w:id="0">
    <w:p w:rsidR="0083591B" w:rsidRDefault="0083591B" w:rsidP="000F7898">
      <w:pPr>
        <w:spacing w:after="0" w:line="240" w:lineRule="auto"/>
      </w:pPr>
      <w:r>
        <w:continuationSeparator/>
      </w:r>
    </w:p>
  </w:footnote>
  <w:footnote w:id="1">
    <w:p w:rsidR="00675B69" w:rsidRPr="000F7898" w:rsidRDefault="00675B69">
      <w:pPr>
        <w:pStyle w:val="FootnoteText"/>
        <w:rPr>
          <w:i w:val="0"/>
          <w:lang w:val="ru-RU"/>
        </w:rPr>
      </w:pPr>
      <w:r>
        <w:rPr>
          <w:rStyle w:val="FootnoteReference"/>
        </w:rPr>
        <w:footnoteRef/>
      </w:r>
      <w:r w:rsidRPr="000F7898">
        <w:rPr>
          <w:lang w:val="ru-RU"/>
        </w:rPr>
        <w:t xml:space="preserve"> </w:t>
      </w:r>
      <w:r>
        <w:rPr>
          <w:i w:val="0"/>
          <w:lang w:val="ru-RU"/>
        </w:rPr>
        <w:t xml:space="preserve">В случае переоценки прогнозным значением истинного база меньше, в случае недооценки – больше. </w:t>
      </w:r>
    </w:p>
  </w:footnote>
  <w:footnote w:id="2">
    <w:p w:rsidR="00EC3012" w:rsidRPr="00EC3012" w:rsidRDefault="00EC3012" w:rsidP="00EC3012">
      <w:pPr>
        <w:pStyle w:val="FootnoteText"/>
        <w:rPr>
          <w:i w:val="0"/>
          <w:lang w:val="ru-RU"/>
        </w:rPr>
      </w:pPr>
      <w:r>
        <w:rPr>
          <w:rStyle w:val="FootnoteReference"/>
        </w:rPr>
        <w:footnoteRef/>
      </w:r>
      <w:r w:rsidRPr="00EC3012">
        <w:rPr>
          <w:lang w:val="ru-RU"/>
        </w:rPr>
        <w:t xml:space="preserve"> </w:t>
      </w:r>
      <w:r>
        <w:rPr>
          <w:i w:val="0"/>
          <w:lang w:val="ru-RU"/>
        </w:rPr>
        <w:t>Считается по выборочной дисперсии</w:t>
      </w:r>
    </w:p>
  </w:footnote>
  <w:footnote w:id="3">
    <w:p w:rsidR="00EC3012" w:rsidRPr="00EC3012" w:rsidRDefault="00EC3012">
      <w:pPr>
        <w:pStyle w:val="FootnoteText"/>
        <w:rPr>
          <w:i w:val="0"/>
          <w:lang w:val="ru-RU"/>
        </w:rPr>
      </w:pPr>
      <w:r>
        <w:rPr>
          <w:rStyle w:val="FootnoteReference"/>
        </w:rPr>
        <w:footnoteRef/>
      </w:r>
      <w:r w:rsidRPr="00EC3012">
        <w:rPr>
          <w:lang w:val="ru-RU"/>
        </w:rPr>
        <w:t xml:space="preserve"> </w:t>
      </w:r>
      <w:r>
        <w:rPr>
          <w:i w:val="0"/>
          <w:lang w:val="ru-RU"/>
        </w:rPr>
        <w:t>Считается дисперсия для генеральной совокупности, а не выборочная дисперсия (!)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10CA"/>
    <w:multiLevelType w:val="hybridMultilevel"/>
    <w:tmpl w:val="88721EF4"/>
    <w:lvl w:ilvl="0" w:tplc="FFCAACF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D16FF"/>
    <w:multiLevelType w:val="hybridMultilevel"/>
    <w:tmpl w:val="1EA06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2693B"/>
    <w:multiLevelType w:val="hybridMultilevel"/>
    <w:tmpl w:val="FDB24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AA"/>
    <w:rsid w:val="0004742D"/>
    <w:rsid w:val="00077A3B"/>
    <w:rsid w:val="000B70E3"/>
    <w:rsid w:val="000E2FF8"/>
    <w:rsid w:val="000F7898"/>
    <w:rsid w:val="00103CA7"/>
    <w:rsid w:val="0010715C"/>
    <w:rsid w:val="001917C8"/>
    <w:rsid w:val="00200D14"/>
    <w:rsid w:val="00207ED5"/>
    <w:rsid w:val="00224757"/>
    <w:rsid w:val="002764F1"/>
    <w:rsid w:val="00287D1B"/>
    <w:rsid w:val="003163DB"/>
    <w:rsid w:val="003A3B6C"/>
    <w:rsid w:val="003C2110"/>
    <w:rsid w:val="00451F81"/>
    <w:rsid w:val="00471DEA"/>
    <w:rsid w:val="005124BC"/>
    <w:rsid w:val="00520961"/>
    <w:rsid w:val="0057098B"/>
    <w:rsid w:val="005D2261"/>
    <w:rsid w:val="00675B69"/>
    <w:rsid w:val="006F08BA"/>
    <w:rsid w:val="00774F4D"/>
    <w:rsid w:val="00781436"/>
    <w:rsid w:val="007A7069"/>
    <w:rsid w:val="007F2B83"/>
    <w:rsid w:val="00801784"/>
    <w:rsid w:val="008216A5"/>
    <w:rsid w:val="0083591B"/>
    <w:rsid w:val="008B040D"/>
    <w:rsid w:val="00923651"/>
    <w:rsid w:val="00933AD0"/>
    <w:rsid w:val="0094016C"/>
    <w:rsid w:val="00947ED8"/>
    <w:rsid w:val="00983E66"/>
    <w:rsid w:val="009E4B13"/>
    <w:rsid w:val="00A54ADE"/>
    <w:rsid w:val="00A90ADB"/>
    <w:rsid w:val="00AC6418"/>
    <w:rsid w:val="00B06A7A"/>
    <w:rsid w:val="00B27F8F"/>
    <w:rsid w:val="00BC6516"/>
    <w:rsid w:val="00BE6131"/>
    <w:rsid w:val="00C3240D"/>
    <w:rsid w:val="00C32DB7"/>
    <w:rsid w:val="00C673AE"/>
    <w:rsid w:val="00D15FBC"/>
    <w:rsid w:val="00D615BB"/>
    <w:rsid w:val="00D83580"/>
    <w:rsid w:val="00DD6923"/>
    <w:rsid w:val="00E05433"/>
    <w:rsid w:val="00E653AF"/>
    <w:rsid w:val="00EC3012"/>
    <w:rsid w:val="00ED41AA"/>
    <w:rsid w:val="00EE6A2A"/>
    <w:rsid w:val="00EF0203"/>
    <w:rsid w:val="00F23449"/>
    <w:rsid w:val="00F652BD"/>
    <w:rsid w:val="00F97404"/>
    <w:rsid w:val="00FB165A"/>
    <w:rsid w:val="00F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F4AB2-2113-4C8B-8673-8348361B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i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7C8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B6C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3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1B"/>
    <w:rPr>
      <w:rFonts w:ascii="Tahoma" w:hAnsi="Tahoma" w:cs="Tahoma"/>
      <w:i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6C"/>
    <w:pPr>
      <w:numPr>
        <w:ilvl w:val="1"/>
      </w:numPr>
    </w:pPr>
    <w:rPr>
      <w:rFonts w:asciiTheme="majorHAnsi" w:eastAsiaTheme="majorEastAsia" w:hAnsiTheme="majorHAnsi" w:cstheme="majorBidi"/>
      <w:i w:val="0"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016C"/>
    <w:rPr>
      <w:rFonts w:asciiTheme="majorHAnsi" w:eastAsiaTheme="majorEastAsia" w:hAnsiTheme="majorHAnsi" w:cstheme="majorBidi"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4016C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7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715C"/>
    <w:rPr>
      <w:color w:val="808080"/>
    </w:rPr>
  </w:style>
  <w:style w:type="table" w:styleId="LightList">
    <w:name w:val="Light List"/>
    <w:basedOn w:val="TableNormal"/>
    <w:uiPriority w:val="61"/>
    <w:rsid w:val="000F78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F78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7898"/>
    <w:rPr>
      <w:i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78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52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2BD"/>
    <w:rPr>
      <w:i/>
    </w:rPr>
  </w:style>
  <w:style w:type="paragraph" w:styleId="Footer">
    <w:name w:val="footer"/>
    <w:basedOn w:val="Normal"/>
    <w:link w:val="FooterChar"/>
    <w:uiPriority w:val="99"/>
    <w:unhideWhenUsed/>
    <w:rsid w:val="00F652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2BD"/>
    <w:rPr>
      <w:i/>
    </w:rPr>
  </w:style>
  <w:style w:type="character" w:styleId="Hyperlink">
    <w:name w:val="Hyperlink"/>
    <w:basedOn w:val="DefaultParagraphFont"/>
    <w:uiPriority w:val="99"/>
    <w:unhideWhenUsed/>
    <w:rsid w:val="00C324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1652A-ABE5-45D7-9FA5-975F155B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Bank of Russian Federation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GrishchenkoVO</dc:creator>
  <cp:keywords/>
  <dc:description/>
  <cp:lastModifiedBy>Грищенко Вадим Олегович</cp:lastModifiedBy>
  <cp:revision>54</cp:revision>
  <dcterms:created xsi:type="dcterms:W3CDTF">2017-12-08T20:30:00Z</dcterms:created>
  <dcterms:modified xsi:type="dcterms:W3CDTF">2018-12-28T09:45:00Z</dcterms:modified>
</cp:coreProperties>
</file>