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981" w:rsidRDefault="007F68A7" w:rsidP="007F68A7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                                   </w:t>
      </w:r>
      <w:r w:rsidRPr="007F68A7">
        <w:rPr>
          <w:b/>
          <w:sz w:val="40"/>
          <w:szCs w:val="40"/>
          <w:lang w:val="uk-UA"/>
        </w:rPr>
        <w:t>Марк Тулій Цицерон</w:t>
      </w:r>
    </w:p>
    <w:p w:rsidR="007F68A7" w:rsidRDefault="007F68A7" w:rsidP="007F68A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F68A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 xml:space="preserve">Марк </w:t>
      </w:r>
      <w:proofErr w:type="spellStart"/>
      <w:r w:rsidRPr="007F68A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>Туллій</w:t>
      </w:r>
      <w:proofErr w:type="spellEnd"/>
      <w:r w:rsidRPr="007F68A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 xml:space="preserve"> Цицерон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F68A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(</w:t>
      </w:r>
      <w:hyperlink r:id="rId4" w:tooltip="Латинська мова" w:history="1">
        <w:r w:rsidRPr="007F68A7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лат.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la-Latn"/>
        </w:rPr>
        <w:t>Marcus Tullius Cicero</w:t>
      </w:r>
      <w:r w:rsidRPr="007F68A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3 січня" w:history="1">
        <w:r w:rsidRPr="007F68A7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3 січня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106 до н. е." w:history="1">
        <w:r w:rsidRPr="007F68A7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106 до н. е.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 </w:t>
      </w:r>
      <w:hyperlink r:id="rId7" w:tooltip="7 грудня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7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грудня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43 до н. е.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43 до н. е.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— </w:t>
      </w:r>
      <w:proofErr w:type="spellStart"/>
      <w:r>
        <w:fldChar w:fldCharType="begin"/>
      </w:r>
      <w:r>
        <w:instrText xml:space="preserve"> HYPERLINK "https://uk.wikipedia.org/wiki/%D0%A1%D1%82%D0%B0%D1%80%D0%BE%D0%B4%D0%B0%D0%B2%D0%BD%D1%96%D0%B9_%D0%A0%D0%B8%D0%BC" \o "Стародавній Рим"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давньоримський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політичний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діяч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видатний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оратор,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філософ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літератор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Один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зачинателів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римської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розповідної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прози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007F68A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Прихильник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свободи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республіки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Цицерон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захищав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свої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ідеали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викривальних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промовах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Уперше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виступив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суді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81-</w:t>
      </w:r>
      <w:hyperlink r:id="rId9" w:tooltip="80 до н. е.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80 до н. е.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при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Суллі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Справа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набула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політичного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забарвлення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й Цицерону довелось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деякий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час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виїхати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з Риму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під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приводом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хвороби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За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наступні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два роки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відвідав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"https://uk.wikipedia.org/wiki/%D0%90%D1%84%D1%96%D0%BD%D0%B8" \o "Афіни"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Афіни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0" w:tooltip="Мала Азія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Малу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Азію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та </w:t>
      </w:r>
      <w:hyperlink r:id="rId11" w:tooltip="Родос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Родос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7F68A7" w:rsidRDefault="007F68A7" w:rsidP="007F68A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Політичну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кар'єру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Цицерон почав </w:t>
      </w:r>
      <w:hyperlink r:id="rId12" w:tooltip="76 до н. е.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76 до н. е.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посаді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Квестор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квестора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 </w:t>
      </w:r>
      <w:proofErr w:type="spellStart"/>
      <w:r>
        <w:fldChar w:fldCharType="begin"/>
      </w:r>
      <w:r>
        <w:instrText xml:space="preserve"> HYPERLINK "https://uk.wikipedia.org/wiki/%D0%A1%D0%B8%D1%86%D0%B8%D0%BB%D1%96%D1%8F" \o "Сицилія"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сицилійському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місті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Лілібей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де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завідував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постачанням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продовольства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до Риму;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завдання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з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яким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Цицерон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впорався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блискуче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набувши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репутації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непідкупного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чесного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правителя. Повернувшись до Риму й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переконавшись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досягнення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провінції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ніхто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знає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вирішив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за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власними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свідченнями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жити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постійно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місті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й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перебувати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ближче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до </w:t>
      </w:r>
      <w:hyperlink r:id="rId14" w:tooltip="Римський Форум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Форуму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Цицерон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увійшов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до складу </w:t>
      </w:r>
      <w:hyperlink r:id="rId15" w:tooltip="Сенат (Стародавній Рим)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сенату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де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одразу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ж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набув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слави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блискучого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оратора.</w:t>
      </w:r>
    </w:p>
    <w:p w:rsidR="007F68A7" w:rsidRDefault="007F68A7" w:rsidP="007F68A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hyperlink r:id="rId16" w:tooltip="70 до н. е.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70 до н. е.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Цицерон привернув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загальну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увагу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своїми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виступами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7" w:tooltip="Гай Варренс (ще не написана)" w:history="1">
        <w:r>
          <w:rPr>
            <w:rStyle w:val="a3"/>
            <w:rFonts w:ascii="Arial" w:hAnsi="Arial" w:cs="Arial"/>
            <w:color w:val="A55858"/>
            <w:sz w:val="21"/>
            <w:szCs w:val="21"/>
            <w:shd w:val="clear" w:color="auto" w:fill="FFFFFF"/>
          </w:rPr>
          <w:t xml:space="preserve">Гая </w:t>
        </w:r>
        <w:proofErr w:type="spellStart"/>
        <w:r>
          <w:rPr>
            <w:rStyle w:val="a3"/>
            <w:rFonts w:ascii="Arial" w:hAnsi="Arial" w:cs="Arial"/>
            <w:color w:val="A55858"/>
            <w:sz w:val="21"/>
            <w:szCs w:val="21"/>
            <w:shd w:val="clear" w:color="auto" w:fill="FFFFFF"/>
          </w:rPr>
          <w:t>Верреса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намісника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"https://uk.wikipedia.org/wiki/%D0%A1%D0%B8%D1%86%D0%B8%D0%BB%D1%96%D1%8F" \o "Сицилія"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Сицилії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Цицерон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створив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одіозний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портрет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жорстокої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жадібної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людини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яка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безкарно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пригноблювала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рядових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громадян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не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гребувала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грабунком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і разом з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тим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показав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сумну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картину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суспільного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свого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часу, коли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Римська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республіка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опинилася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межі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катастрофи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Промови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збереглися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до наших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часів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Ораторський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талант Цицерона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підняв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хвилю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обурення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осоромлений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правитель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змушений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був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ще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закінчення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суду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податися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вигнання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виплативши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3 млн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сестерціїв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D7363" w:rsidRDefault="004D7363" w:rsidP="004D736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Виграш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справи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перетворив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Цицерона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найпопулярнішого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адвоката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Римі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 У 70—</w:t>
      </w:r>
      <w:hyperlink r:id="rId18" w:tooltip="67 до н. е.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67 до н. е.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він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неодноразово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виступав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цивільних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процесах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: до нас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дійшли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фрагменти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промов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за </w:t>
      </w:r>
      <w:hyperlink r:id="rId19" w:tooltip="Марк Фонтей (ще не написана)" w:history="1">
        <w:r>
          <w:rPr>
            <w:rStyle w:val="a3"/>
            <w:rFonts w:ascii="Arial" w:hAnsi="Arial" w:cs="Arial"/>
            <w:color w:val="A55858"/>
            <w:sz w:val="21"/>
            <w:szCs w:val="21"/>
          </w:rPr>
          <w:t xml:space="preserve">М. </w:t>
        </w:r>
        <w:proofErr w:type="spellStart"/>
        <w:r>
          <w:rPr>
            <w:rStyle w:val="a3"/>
            <w:rFonts w:ascii="Arial" w:hAnsi="Arial" w:cs="Arial"/>
            <w:color w:val="A55858"/>
            <w:sz w:val="21"/>
            <w:szCs w:val="21"/>
          </w:rPr>
          <w:t>Фонтея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, пропретора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"https://uk.wikipedia.org/wiki/%D0%93%D0%B0%D0%BB%D0%BB%D1%96%D1%8F" \o "Галлія"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Галлії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за квестора П.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Оппія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і,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нарешті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повністю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збереглася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промова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за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"https://uk.wikipedia.org/wiki/%D0%90%D0%B2%D0%BB_%D0%A6%D0%B5%D1%86%D0%B8%D0%BD%D0%B0_(%D0%BF%D0%B8%D1%81%D1%8C%D0%BC%D0%B5%D0%BD%D0%BD%D0%B8%D0%BA)" \o "Авл Цецина (письменник)"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Авла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Цецину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письменника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того часу,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знатну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людину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з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"https://uk.wikipedia.org/wiki/%D0%95%D1%82%D1%80%D1%83%D1%80%D1%96%D1%8F" \o "Етрурія"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етруського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міста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Волатерри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4D7363" w:rsidRDefault="004D7363" w:rsidP="004D736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Улітку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20" w:tooltip="67 до н. е.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67 до н. е.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Цицерона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було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одностайно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обрано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21" w:tooltip="Претор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претором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4D7363" w:rsidRDefault="004D7363" w:rsidP="007F68A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Наступним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кроком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мало стати </w:t>
      </w:r>
      <w:hyperlink r:id="rId22" w:tooltip="Консул (Стародавній Рим)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консульство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Для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здобуття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поважної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посади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людині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походження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необхідна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була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підтримка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впливових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діячів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і Цицерон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зробив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ставку на </w:t>
      </w:r>
      <w:proofErr w:type="spellStart"/>
      <w:r>
        <w:fldChar w:fldCharType="begin"/>
      </w:r>
      <w:r>
        <w:instrText xml:space="preserve"> HYPERLINK "https://uk.wikipedia.org/wiki/%D0%93%D0%BD%D0%B5%D0%B9_%D0%9F%D0%BE%D0%BC%D0%BF%D0%B5%D0%B9_%D0%92%D0%B5%D0%BB%D0%B8%D0%BA%D0%B8%D0%B9" \o "Гней Помпей Великий"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Гнея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Помпея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часи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був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найпопулярнішою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фігурою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римського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політикуму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промові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захист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законопроекту трибуна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Манілія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Цицерон закликав обрати Помпея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одноосібним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верховним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командувачем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Суперниками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Цицерона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здобутті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консулату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були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"https://uk.wikipedia.org/wiki/%D0%9B%D1%83%D1%86%D1%96%D0%B9_%D0%A1%D0%B5%D1%80%D0%B3%D1%96%D0%B9_%D0%9A%D0%B0%D1%82%D1%96%D0%BB%D1%96%D0%BD%D0%B0" \o "Луцій Сергій Катіліна"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Луцій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Сергій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Катіліна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й </w:t>
      </w:r>
      <w:hyperlink r:id="rId23" w:tooltip="Гай Антоній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Гай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Антоній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котрих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підтримували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4" w:tooltip="Гай Юлій Цезар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Гая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Юлія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Цезара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й </w:t>
      </w:r>
      <w:hyperlink r:id="rId25" w:tooltip="Марк Ліциній Красс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Марка Красса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своїй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промові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кандидата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консули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оратор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розкрив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минуле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своїх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конкурентів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звинувативши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тих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зраді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й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підготовці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державного перевороту.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результаті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6" w:tooltip="63 до н. е.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63 до н. е.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Цицерона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було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обрано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голосами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всіх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центурій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Для Цицерона, «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нової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людини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консульській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посаді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траплялося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вже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30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років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був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пік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політичної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кар'єри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Під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час консульства за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викриття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змови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Катіліни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був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радо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проголошений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батьком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батьківщини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</w:p>
    <w:p w:rsidR="004D7363" w:rsidRPr="004D7363" w:rsidRDefault="004D7363" w:rsidP="007F68A7">
      <w:pPr>
        <w:rPr>
          <w:sz w:val="32"/>
          <w:szCs w:val="32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Цицерон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ставив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питання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співвідношення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риторики й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філософії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державного устрою і,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зокрема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«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найкращої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держави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найкращого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громадянина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Наслідуючи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грецького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історика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"https://uk.wikipedia.org/wiki/%D0%9F%D0%BE%D0%BB%D1%96%D0%B1%D1%96%D0%B9" \o "Полібій"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Полібія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та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стоїка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Панетія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бачить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Римській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республіці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часів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розквіту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ту «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змішану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политею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»,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якій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демократія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вільне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волевиявлення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народу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справжня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участь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державних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справах) оптимально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сполучається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з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елементами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аристократії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керівництвом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з боку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найрозумніших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найгідніших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). З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теоретичних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"https://uk.wikipedia.org/wiki/%D0%93%D0%BD%D0%BE%D1%81%D0%B5%D0%BE%D0%BB%D0%BE%D0%B3%D1%96%D1%8F" \o "Гносеологія"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гносеологічних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питань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розглядав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питанням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про природу і статус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знання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критерії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істинності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пізнання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знання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що-небудь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бути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остаточним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Відповідно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вчення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Нової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Академії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і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противагу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стоїкам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відповідає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питання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негативно.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роботі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«Про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межі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добра і зла» Цицерон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послідовно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спростовує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вчення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вище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благо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епікурейців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стоїків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зберігаючи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скептичний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погляд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неможливість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теоретичного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обґрунтування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вищого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блага.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галузі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практичної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моралі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остаточне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визначальне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поняття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Цицерон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знаходить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поняття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природи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 «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додержується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природи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той не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помиляється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зближує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позицію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стоїчною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  <w:proofErr w:type="spellStart"/>
      <w:r>
        <w:fldChar w:fldCharType="begin"/>
      </w:r>
      <w:r>
        <w:instrText xml:space="preserve"> HYPERLINK "https://uk.wikipedia.org/wiki/%D0%A1%D1%82%D0%BE%D1%97%D1%86%D0%B8%D0%B7%D0%BC" \o "Стоїцизм"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Стоїцизм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був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духовно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близький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Цицерону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лише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почасти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згода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питаннях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моралі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супроводжується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різкою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критикою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віри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традиційних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богів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стоїчного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фаталізму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пов'язаної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з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цим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віри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ворожіння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(«Про природу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богів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», «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Мистецтво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ворожіння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 і «Про долю»). Один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найзначніших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творів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Цицерона — «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Тускуланські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бесіди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 в 5 книгах,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якому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розгортається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широкий спектр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філософських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питань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ньому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називає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філософію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«наукою про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зцілення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душі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», «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вихователькою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чесноти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гонителькою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пороків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об'єднала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«у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суспільство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розсіяних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землі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людей».</w:t>
      </w:r>
      <w:bookmarkStart w:id="0" w:name="_GoBack"/>
      <w:bookmarkEnd w:id="0"/>
    </w:p>
    <w:sectPr w:rsidR="004D7363" w:rsidRPr="004D7363" w:rsidSect="007F68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D"/>
    <w:rsid w:val="0018153D"/>
    <w:rsid w:val="004D7363"/>
    <w:rsid w:val="00553981"/>
    <w:rsid w:val="007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15BE"/>
  <w15:chartTrackingRefBased/>
  <w15:docId w15:val="{07E60BC7-9063-4C4B-A713-6992970B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68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7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D7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D73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43_%D0%B4%D0%BE_%D0%BD._%D0%B5." TargetMode="External"/><Relationship Id="rId13" Type="http://schemas.openxmlformats.org/officeDocument/2006/relationships/hyperlink" Target="https://uk.wikipedia.org/wiki/%D0%9A%D0%B2%D0%B5%D1%81%D1%82%D0%BE%D1%80" TargetMode="External"/><Relationship Id="rId18" Type="http://schemas.openxmlformats.org/officeDocument/2006/relationships/hyperlink" Target="https://uk.wikipedia.org/wiki/67_%D0%B4%D0%BE_%D0%BD._%D0%B5." TargetMode="External"/><Relationship Id="rId26" Type="http://schemas.openxmlformats.org/officeDocument/2006/relationships/hyperlink" Target="https://uk.wikipedia.org/wiki/63_%D0%B4%D0%BE_%D0%BD._%D0%B5.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k.wikipedia.org/wiki/%D0%9F%D1%80%D0%B5%D1%82%D0%BE%D1%80" TargetMode="External"/><Relationship Id="rId7" Type="http://schemas.openxmlformats.org/officeDocument/2006/relationships/hyperlink" Target="https://uk.wikipedia.org/wiki/7_%D0%B3%D1%80%D1%83%D0%B4%D0%BD%D1%8F" TargetMode="External"/><Relationship Id="rId12" Type="http://schemas.openxmlformats.org/officeDocument/2006/relationships/hyperlink" Target="https://uk.wikipedia.org/wiki/76_%D0%B4%D0%BE_%D0%BD._%D0%B5." TargetMode="External"/><Relationship Id="rId17" Type="http://schemas.openxmlformats.org/officeDocument/2006/relationships/hyperlink" Target="https://uk.wikipedia.org/w/index.php?title=%D0%93%D0%B0%D0%B9_%D0%92%D0%B0%D1%80%D1%80%D0%B5%D0%BD%D1%81&amp;action=edit&amp;redlink=1" TargetMode="External"/><Relationship Id="rId25" Type="http://schemas.openxmlformats.org/officeDocument/2006/relationships/hyperlink" Target="https://uk.wikipedia.org/wiki/%D0%9C%D0%B0%D1%80%D0%BA_%D0%9B%D1%96%D1%86%D0%B8%D0%BD%D1%96%D0%B9_%D0%9A%D1%80%D0%B0%D1%81%D1%8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k.wikipedia.org/wiki/70_%D0%B4%D0%BE_%D0%BD._%D0%B5." TargetMode="External"/><Relationship Id="rId20" Type="http://schemas.openxmlformats.org/officeDocument/2006/relationships/hyperlink" Target="https://uk.wikipedia.org/wiki/67_%D0%B4%D0%BE_%D0%BD._%D0%B5." TargetMode="External"/><Relationship Id="rId1" Type="http://schemas.openxmlformats.org/officeDocument/2006/relationships/styles" Target="styles.xml"/><Relationship Id="rId6" Type="http://schemas.openxmlformats.org/officeDocument/2006/relationships/hyperlink" Target="https://uk.wikipedia.org/wiki/106_%D0%B4%D0%BE_%D0%BD._%D0%B5." TargetMode="External"/><Relationship Id="rId11" Type="http://schemas.openxmlformats.org/officeDocument/2006/relationships/hyperlink" Target="https://uk.wikipedia.org/wiki/%D0%A0%D0%BE%D0%B4%D0%BE%D1%81" TargetMode="External"/><Relationship Id="rId24" Type="http://schemas.openxmlformats.org/officeDocument/2006/relationships/hyperlink" Target="https://uk.wikipedia.org/wiki/%D0%93%D0%B0%D0%B9_%D0%AE%D0%BB%D1%96%D0%B9_%D0%A6%D0%B5%D0%B7%D0%B0%D1%80" TargetMode="External"/><Relationship Id="rId5" Type="http://schemas.openxmlformats.org/officeDocument/2006/relationships/hyperlink" Target="https://uk.wikipedia.org/wiki/3_%D1%81%D1%96%D1%87%D0%BD%D1%8F" TargetMode="External"/><Relationship Id="rId15" Type="http://schemas.openxmlformats.org/officeDocument/2006/relationships/hyperlink" Target="https://uk.wikipedia.org/wiki/%D0%A1%D0%B5%D0%BD%D0%B0%D1%82_(%D0%A1%D1%82%D0%B0%D1%80%D0%BE%D0%B4%D0%B0%D0%B2%D0%BD%D1%96%D0%B9_%D0%A0%D0%B8%D0%BC)" TargetMode="External"/><Relationship Id="rId23" Type="http://schemas.openxmlformats.org/officeDocument/2006/relationships/hyperlink" Target="https://uk.wikipedia.org/wiki/%D0%93%D0%B0%D0%B9_%D0%90%D0%BD%D1%82%D0%BE%D0%BD%D1%96%D0%B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uk.wikipedia.org/wiki/%D0%9C%D0%B0%D0%BB%D0%B0_%D0%90%D0%B7%D1%96%D1%8F" TargetMode="External"/><Relationship Id="rId19" Type="http://schemas.openxmlformats.org/officeDocument/2006/relationships/hyperlink" Target="https://uk.wikipedia.org/w/index.php?title=%D0%9C%D0%B0%D1%80%D0%BA_%D0%A4%D0%BE%D0%BD%D1%82%D0%B5%D0%B9&amp;action=edit&amp;redlink=1" TargetMode="External"/><Relationship Id="rId4" Type="http://schemas.openxmlformats.org/officeDocument/2006/relationships/hyperlink" Target="https://uk.wikipedia.org/wiki/%D0%9B%D0%B0%D1%82%D0%B8%D0%BD%D1%81%D1%8C%D0%BA%D0%B0_%D0%BC%D0%BE%D0%B2%D0%B0" TargetMode="External"/><Relationship Id="rId9" Type="http://schemas.openxmlformats.org/officeDocument/2006/relationships/hyperlink" Target="https://uk.wikipedia.org/wiki/80_%D0%B4%D0%BE_%D0%BD._%D0%B5." TargetMode="External"/><Relationship Id="rId14" Type="http://schemas.openxmlformats.org/officeDocument/2006/relationships/hyperlink" Target="https://uk.wikipedia.org/wiki/%D0%A0%D0%B8%D0%BC%D1%81%D1%8C%D0%BA%D0%B8%D0%B9_%D0%A4%D0%BE%D1%80%D1%83%D0%BC" TargetMode="External"/><Relationship Id="rId22" Type="http://schemas.openxmlformats.org/officeDocument/2006/relationships/hyperlink" Target="https://uk.wikipedia.org/wiki/%D0%9A%D0%BE%D0%BD%D1%81%D1%83%D0%BB_(%D0%A1%D1%82%D0%B0%D1%80%D0%BE%D0%B4%D0%B0%D0%B2%D0%BD%D1%96%D0%B9_%D0%A0%D0%B8%D0%BC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2018-10-22T17:51:00Z</cp:lastPrinted>
  <dcterms:created xsi:type="dcterms:W3CDTF">2018-10-22T18:05:00Z</dcterms:created>
  <dcterms:modified xsi:type="dcterms:W3CDTF">2018-10-22T18:05:00Z</dcterms:modified>
</cp:coreProperties>
</file>