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066D30" w14:textId="77777777" w:rsidR="008451AB" w:rsidRDefault="008B2A3E">
      <w:pPr>
        <w:pStyle w:val="Title"/>
      </w:pPr>
      <w:r>
        <w:t>Credit Appraisal Policy and Loan Eligibility Rules</w:t>
      </w:r>
    </w:p>
    <w:p w14:paraId="4597937E" w14:textId="77777777" w:rsidR="008451AB" w:rsidRDefault="008B2A3E">
      <w:pPr>
        <w:pStyle w:val="Heading1"/>
      </w:pPr>
      <w:r>
        <w:t>Purpose</w:t>
      </w:r>
    </w:p>
    <w:p w14:paraId="6302266F" w14:textId="77777777" w:rsidR="008451AB" w:rsidRDefault="008B2A3E">
      <w:r>
        <w:t xml:space="preserve">This document defines the credit appraisal policies and eligibility rules used to assess customer eligibility for loan approval. The policy covers two loan products: Car Loan and Home Loan. The </w:t>
      </w:r>
      <w:r>
        <w:t>applicable criteria depend on the type of loan and must be evaluated against the customer's application information.</w:t>
      </w:r>
    </w:p>
    <w:p w14:paraId="64894C1C" w14:textId="77777777" w:rsidR="008451AB" w:rsidRDefault="008B2A3E">
      <w:pPr>
        <w:pStyle w:val="Heading1"/>
      </w:pPr>
      <w:r>
        <w:t>1. Car Loan Eligibility Policy</w:t>
      </w:r>
    </w:p>
    <w:p w14:paraId="0239BB92" w14:textId="77777777" w:rsidR="008451AB" w:rsidRDefault="008B2A3E">
      <w:r>
        <w:t>The Car Loan policy applies to new passenger vehicles and defines requirements related to vehicle type, maxi</w:t>
      </w:r>
      <w:r>
        <w:t>mum Loan-to-Value (LTV), bureau score, loan tenor, and applicant age at maturity.</w:t>
      </w:r>
    </w:p>
    <w:p w14:paraId="7BDD8B01" w14:textId="77777777" w:rsidR="008451AB" w:rsidRDefault="008B2A3E">
      <w:r>
        <w:t>For a new petrol or diesel passenger vehicle, the maximum permitted Loan-to-Value (LTV) is 80 percent.</w:t>
      </w:r>
    </w:p>
    <w:p w14:paraId="7D2AA3B1" w14:textId="77777777" w:rsidR="008451AB" w:rsidRDefault="008B2A3E">
      <w:r>
        <w:t>For a new battery electric passenger vehicle, the maximum permitted Loa</w:t>
      </w:r>
      <w:r>
        <w:t>n-to-Value (LTV) is 85 percent.</w:t>
      </w:r>
    </w:p>
    <w:p w14:paraId="67D6B7A8" w14:textId="77777777" w:rsidR="008451AB" w:rsidRDefault="008B2A3E">
      <w:r>
        <w:t>The applicant must have a minimum bureau score of 700.</w:t>
      </w:r>
    </w:p>
    <w:p w14:paraId="335099B3" w14:textId="77777777" w:rsidR="008451AB" w:rsidRDefault="008B2A3E">
      <w:r>
        <w:t>The maximum permissible loan tenor is 36 months.</w:t>
      </w:r>
    </w:p>
    <w:p w14:paraId="3625308F" w14:textId="77777777" w:rsidR="008451AB" w:rsidRDefault="008B2A3E">
      <w:r>
        <w:t>The applicant's age at loan maturity must not exceed 70 years.</w:t>
      </w:r>
    </w:p>
    <w:p w14:paraId="4BC4B132" w14:textId="77777777" w:rsidR="008451AB" w:rsidRDefault="008B2A3E">
      <w:pPr>
        <w:pStyle w:val="Heading1"/>
      </w:pPr>
      <w:r>
        <w:t>2. Home Loan Eligibility Policy</w:t>
      </w:r>
    </w:p>
    <w:p w14:paraId="53CE9D6F" w14:textId="77777777" w:rsidR="008451AB" w:rsidRDefault="008B2A3E">
      <w:r>
        <w:t>The Home Loan policy defi</w:t>
      </w:r>
      <w:r>
        <w:t>nes requirements related to bureau score, Fixed Obligations to Income Ratio (FOIR), Loan-to-Value (LTV), loan tenor, and applicant age at maturity.</w:t>
      </w:r>
    </w:p>
    <w:p w14:paraId="387A9619" w14:textId="77777777" w:rsidR="008451AB" w:rsidRDefault="008B2A3E">
      <w:r>
        <w:t>The applicant must have a minimum bureau score of 700.</w:t>
      </w:r>
    </w:p>
    <w:p w14:paraId="51DD10B4" w14:textId="77777777" w:rsidR="008451AB" w:rsidRDefault="008B2A3E">
      <w:r>
        <w:t>The maximum permitted FOIR is 50 percent.</w:t>
      </w:r>
    </w:p>
    <w:p w14:paraId="28D69824" w14:textId="77777777" w:rsidR="008451AB" w:rsidRDefault="008B2A3E">
      <w:r>
        <w:t>The maximum</w:t>
      </w:r>
      <w:r>
        <w:t xml:space="preserve"> permitted demo-policy Loan-to-Value (LTV) is 80 percent.</w:t>
      </w:r>
    </w:p>
    <w:p w14:paraId="4B97733F" w14:textId="77777777" w:rsidR="008451AB" w:rsidRDefault="008B2A3E">
      <w:r>
        <w:t>The maximum permissible loan tenor is 20 years.</w:t>
      </w:r>
    </w:p>
    <w:p w14:paraId="0C2D0D62" w14:textId="77777777" w:rsidR="008451AB" w:rsidRDefault="008B2A3E">
      <w:r>
        <w:t>The applicant's age at loan maturity must not exceed 70 years.</w:t>
      </w:r>
    </w:p>
    <w:p w14:paraId="376725BE" w14:textId="77777777" w:rsidR="008451AB" w:rsidRDefault="008B2A3E">
      <w:pPr>
        <w:pStyle w:val="Heading1"/>
      </w:pPr>
      <w:r>
        <w:lastRenderedPageBreak/>
        <w:t>3. Policy Application Guidelines</w:t>
      </w:r>
    </w:p>
    <w:p w14:paraId="0B1FCC42" w14:textId="77777777" w:rsidR="008451AB" w:rsidRDefault="008B2A3E">
      <w:r>
        <w:t>The credit appraisal system must first identify the lo</w:t>
      </w:r>
      <w:r>
        <w:t>an product before applying eligibility rules. Car Loan rules must be applied only to Car Loan applications, while Home Loan rules must be applied only to Home Loan applications.</w:t>
      </w:r>
    </w:p>
    <w:p w14:paraId="5DEBB879" w14:textId="77777777" w:rsidR="008451AB" w:rsidRDefault="008B2A3E">
      <w:r>
        <w:t>Each eligibility condition should be evaluated independently against the corre</w:t>
      </w:r>
      <w:r>
        <w:t>sponding customer or loan attributes. A condition should be considered satisfied only when the customer's value meets the stated policy requirement.</w:t>
      </w:r>
    </w:p>
    <w:p w14:paraId="1B5ACDA1" w14:textId="77777777" w:rsidR="008451AB" w:rsidRDefault="008B2A3E">
      <w:r>
        <w:t>If a requested eligibility parameter is not specified in the relevant policy, the system should clearly</w:t>
      </w:r>
      <w:r>
        <w:t xml:space="preserve"> state that the parameter is not available in the provided policy rather than generating or assuming a value.</w:t>
      </w:r>
    </w:p>
    <w:sectPr w:rsidR="008451A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451AB"/>
    <w:rsid w:val="008B2A3E"/>
    <w:rsid w:val="00AA1D8D"/>
    <w:rsid w:val="00B47730"/>
    <w:rsid w:val="00C32AC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4B2760"/>
  <w14:defaultImageDpi w14:val="300"/>
  <w15:docId w15:val="{CF14E213-1990-4D1C-98F5-ED3BBF246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321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Deep Kathodiya</cp:lastModifiedBy>
  <cp:revision>3</cp:revision>
  <dcterms:created xsi:type="dcterms:W3CDTF">2013-12-23T23:15:00Z</dcterms:created>
  <dcterms:modified xsi:type="dcterms:W3CDTF">2026-08-18T05:45:00Z</dcterms:modified>
  <cp:category/>
</cp:coreProperties>
</file>