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ABSTRACT</w:t>
      </w:r>
    </w:p>
    <w:p>
      <w:pPr>
        <w:spacing w:after="240"/>
      </w:pPr>
      <w:r>
        <w:rPr>
          <w:sz w:val="24"/>
        </w:rPr>
      </w:r>
      <w:r>
        <w:rPr>
          <w:b/>
          <w:sz w:val="24"/>
        </w:rPr>
        <w:t>Project Title:</w:t>
      </w:r>
      <w:r>
        <w:rPr>
          <w:sz w:val="24"/>
        </w:rPr>
        <w:t xml:space="preserve"> Advanced AI Content Detection System Using Multi-Model Ensemble Learning</w:t>
      </w:r>
    </w:p>
    <w:p>
      <w:pPr>
        <w:spacing w:after="240"/>
      </w:pPr>
      <w:r>
        <w:rPr>
          <w:sz w:val="24"/>
        </w:rPr>
      </w:r>
      <w:r>
        <w:rPr>
          <w:b/>
          <w:sz w:val="24"/>
        </w:rPr>
        <w:t>Domain:</w:t>
      </w:r>
      <w:r>
        <w:rPr>
          <w:sz w:val="24"/>
        </w:rPr>
        <w:t xml:space="preserve"> Artificial Intelligence / Cyber Security</w:t>
      </w:r>
    </w:p>
    <w:p>
      <w:pPr>
        <w:spacing w:after="240"/>
      </w:pPr>
      <w:r>
        <w:rPr>
          <w:sz w:val="24"/>
        </w:rPr>
      </w:r>
      <w:r>
        <w:rPr>
          <w:b/>
          <w:sz w:val="24"/>
        </w:rPr>
        <w:t>Abstract:</w:t>
      </w:r>
      <w:r>
        <w:rPr>
          <w:sz w:val="24"/>
        </w:rPr>
      </w:r>
    </w:p>
    <w:p>
      <w:pPr>
        <w:spacing w:after="240"/>
        <w:jc w:val="both"/>
      </w:pPr>
      <w:r>
        <w:rPr>
          <w:rFonts w:ascii="Times New Roman" w:hAnsi="Times New Roman"/>
          <w:sz w:val="24"/>
        </w:rPr>
        <w:t>The rapid advancement of Generative Artificial Intelligence (GenAI) has led to a proliferation of hyper-realistic synthetic media, blurring the lines between authentic and AI-generated content. While tools like GANs and Diffusion Models foster creativity, they also pose significant risks regarding misinformation, identity theft (deepfakes), and digital fraud. Addressing the "authenticity gap" in digital media has thus become a critical challenge for platform integrity and user trust.</w:t>
      </w:r>
    </w:p>
    <w:p>
      <w:pPr>
        <w:spacing w:after="240"/>
        <w:jc w:val="both"/>
      </w:pPr>
      <w:r>
        <w:rPr>
          <w:rFonts w:ascii="Times New Roman" w:hAnsi="Times New Roman"/>
          <w:sz w:val="24"/>
        </w:rPr>
        <w:t>This project proposes and implements a robust, full-stack **AI Content Detection System** designed to classify images and videos with high precision. Unlike conventional single-model detectors that often suffer from overfitting and lack of generalization, this system employs a **Multi-Model Ensemble Architecture**. The core analysis engine aggregates predictions from 11 distinct state-of-the-art deep learning models—including Vision Transformers (ViT) and specialized DeepFake detectors—to form a weighted consensus verdict. This approach mitigates individual model biases and significantly reduces false positive rates.</w:t>
      </w:r>
    </w:p>
    <w:p>
      <w:pPr>
        <w:spacing w:after="240"/>
        <w:jc w:val="both"/>
      </w:pPr>
      <w:r>
        <w:rPr>
          <w:rFonts w:ascii="Times New Roman" w:hAnsi="Times New Roman"/>
          <w:sz w:val="24"/>
        </w:rPr>
        <w:t>Technically, the system is built on a decoupled architecture comprising a high-performance **FastAPI (Python)** backend and a responsive **React.js** frontend. Key features include a **deterministic analysis pipeline** that seeds random number generators with file hashes for reproducible forensic results, and a **Multi-Frame Video Analysis** engine that extracts and scrutinizes temporal slices of video content to identify inconsistencies. The user interface provides transparent explainability by visualizing model consensus, confidence scores, and forensic metrics (such as Error Level Analysis and Noise Pattern Distribution), thereby offering users not just a binary verdict, but a comprehensive understanding of the media's origin.</w:t>
      </w:r>
    </w:p>
    <w:p>
      <w:pPr>
        <w:spacing w:after="240"/>
        <w:jc w:val="both"/>
      </w:pPr>
      <w:r>
        <w:rPr>
          <w:rFonts w:ascii="Times New Roman" w:hAnsi="Times New Roman"/>
          <w:sz w:val="24"/>
        </w:rPr>
        <w:t>Experimental validation demonstrates that the ensemble approach yields superior accuracy compared to individual baseline models, providing a reliable, scalable, and user-friendly solution for digital content verification.</w:t>
      </w:r>
    </w:p>
    <w:p>
      <w:pPr>
        <w:spacing w:after="240"/>
      </w:pPr>
      <w:r>
        <w:rPr>
          <w:sz w:val="24"/>
        </w:rPr>
      </w:r>
      <w:r>
        <w:rPr>
          <w:b/>
          <w:sz w:val="24"/>
        </w:rPr>
        <w:t>Keywords:</w:t>
      </w:r>
      <w:r>
        <w:rPr>
          <w:sz w:val="24"/>
        </w:rPr>
        <w:t xml:space="preserve"> *AI Detection, Deepfake, Ensemble Learning, Computer Vision, Generative AI, Digital Forensics, Vision Transformers.*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