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e95aee28ca6ed19df5ce865ac3180ba6e5a7345"/>
    <w:p>
      <w:pPr>
        <w:pStyle w:val="Heading1"/>
      </w:pPr>
      <w:r>
        <w:t xml:space="preserve">ArdiA Health Labs: Comprehensive Business Development Guide</w:t>
      </w:r>
    </w:p>
    <w:bookmarkStart w:id="20" w:name="executive-summary"/>
    <w:p>
      <w:pPr>
        <w:pStyle w:val="Heading2"/>
      </w:pPr>
      <w:r>
        <w:t xml:space="preserve">Executive Summary</w:t>
      </w:r>
    </w:p>
    <w:p>
      <w:pPr>
        <w:pStyle w:val="FirstParagraph"/>
      </w:pPr>
      <w:r>
        <w:t xml:space="preserve">ArdiA Health Labs enters the healthcare AI market at a pivotal moment when artificial intelligence adoption in healthcare is accelerating at unprecedented rates. Healthcare AI spending reached $1.4 billion in 2025, nearly tripling 2024’s investment levels, with domain-specific AI tool implementation increasing sevenfold over the previous year to reach 22% of healthcare organizations. For ArdiA’s Clinical Intelligence Engine—a platform designed to address chronic disease management through multi-signal correlation and clinical reasoning rather than simple alerts—this market environment presents substantial opportunity alongside the challenge of navigating complex stakeholder landscapes.</w:t>
      </w:r>
    </w:p>
    <w:p>
      <w:pPr>
        <w:pStyle w:val="BodyText"/>
      </w:pPr>
      <w:r>
        <w:t xml:space="preserve">This comprehensive business development guide synthesizes extensive research across three critical domains: clinic outreach strategy for independent pulmonary and nephrology practices in the Dallas-Fort Worth metropolitan area, investor and funding strategy targeting both regional and national healthcare AI investors, and insurance payer engagement strategy for demonstrating value to health insurance organizations. The research identifies 15 independent clinics near ZIP code 76226 specializing in asthma, COPD, and kidney disease management, over 50 active healthcare AI investors across DFW and national markets, and a structured approach to engaging payer organizations with quantified return on investment.</w:t>
      </w:r>
    </w:p>
    <w:p>
      <w:pPr>
        <w:pStyle w:val="BodyText"/>
      </w:pPr>
      <w:r>
        <w:t xml:space="preserve">The recommended strategy emphasizes a tiered approach to market development, beginning with high-touch clinic partnerships that can generate early evidence and case studies, progressing to investor relationships that provide capital for scale, and culminating in payer partnerships that represent the largest market opportunity. Success requires understanding the distinct priorities of different stakeholder groups—from clinic physicians focused on patient outcomes to CFOs concerned with return on investment—while maintaining consistent messaging about ArdiA’s unique value proposition of moving healthcare</w:t>
      </w:r>
      <w:r>
        <w:t xml:space="preserve"> </w:t>
      </w:r>
      <w:r>
        <w:t xml:space="preserve">“</w:t>
      </w:r>
      <w:r>
        <w:t xml:space="preserve">from alerting to solving.</w:t>
      </w:r>
      <w:r>
        <w:t xml:space="preserve">”</w:t>
      </w:r>
    </w:p>
    <w:p>
      <w:r>
        <w:pict>
          <v:rect style="width:0;height:1.5pt" o:hralign="center" o:hrstd="t" o:hr="t"/>
        </w:pict>
      </w:r>
    </w:p>
    <w:bookmarkEnd w:id="20"/>
    <w:bookmarkStart w:id="23" w:name="strategic-context-and-market-opportunity"/>
    <w:p>
      <w:pPr>
        <w:pStyle w:val="Heading2"/>
      </w:pPr>
      <w:r>
        <w:t xml:space="preserve">1. Strategic Context and Market Opportunity</w:t>
      </w:r>
    </w:p>
    <w:bookmarkStart w:id="21" w:name="healthcare-ai-market-dynamics"/>
    <w:p>
      <w:pPr>
        <w:pStyle w:val="Heading3"/>
      </w:pPr>
      <w:r>
        <w:t xml:space="preserve">1.1 Healthcare AI Market Dynamics</w:t>
      </w:r>
    </w:p>
    <w:p>
      <w:pPr>
        <w:pStyle w:val="FirstParagraph"/>
      </w:pPr>
      <w:r>
        <w:t xml:space="preserve">The healthcare sector has undergone a fundamental transformation in its approach to artificial intelligence adoption, moving from experimental exploration to production deployment at scale. This shift is driven by converging pressures including economic constraints, workforce shortages, and evolving patient expectations that demand more personalized, accessible care delivery. Healthcare organizations now implement AI tools at rates exceeding the broader economy by a factor of 2.2 times, representing a dramatic reversal of the sector’s historical reputation as a digital laggard.</w:t>
      </w:r>
    </w:p>
    <w:p>
      <w:pPr>
        <w:pStyle w:val="BodyText"/>
      </w:pPr>
      <w:r>
        <w:t xml:space="preserve">The economic pressures facing healthcare organizations have created urgent demand for efficiency improvements that AI solutions can deliver. Hospitals operate with razor-thin margins, face high staffing costs, and navigate unstable supply chains, making AI solutions attractive for optimization and efficiency gains. The structural shortage of nurses and physicians has accelerated adoption of AI tools designed to automate administrative work and documentation, enabling clinicians to focus on patient care rather than paperwork. Simultaneously, patients—increasingly behaving as digital consumers—demand 24/7 access, personalized recommendations, and seamless navigation experiences that AI is uniquely positioned to deliver at scale.</w:t>
      </w:r>
    </w:p>
    <w:p>
      <w:pPr>
        <w:pStyle w:val="BodyText"/>
      </w:pPr>
      <w:r>
        <w:t xml:space="preserve">For clinical reasoning engine platforms like ArdiA’s, this environment creates both opportunity and challenge. Healthcare organizations recognize the potential of AI to transform care management, but their procurement processes reflect a fundamental risk aversion that has been amplified by years of technology transformation initiatives that delivered mixed returns. Understanding this context is essential for developing an approach that addresses stakeholder concerns while articulating clear value propositions that differentiate from competitors.</w:t>
      </w:r>
    </w:p>
    <w:p>
      <w:pPr>
        <w:pStyle w:val="BodyText"/>
      </w:pPr>
      <w:r>
        <w:t xml:space="preserve">The dominant investment categories in healthcare AI currently include ambient clinical documentation at $600 million, coding and billing automation at $450 million, and patient engagement and prior authorization applications showing 10-20x year-over-year growth. Eight healthcare AI unicorns have emerged, more than any other vertical AI segment, demonstrating investor confidence in the sector’s growth potential. Critically, 85% of AI spending currently flows to startups rather than legacy incumbents, indicating that healthcare organizations prefer to partner with specialized AI-native companies rather than extending existing relationships with traditional technology vendors.</w:t>
      </w:r>
    </w:p>
    <w:bookmarkEnd w:id="21"/>
    <w:bookmarkStart w:id="22" w:name="X71769f24e6061e3b3869cb7ee62305d6fcaca0c"/>
    <w:p>
      <w:pPr>
        <w:pStyle w:val="Heading3"/>
      </w:pPr>
      <w:r>
        <w:t xml:space="preserve">1.2 The Dallas-Fort Worth Healthcare Ecosystem</w:t>
      </w:r>
    </w:p>
    <w:p>
      <w:pPr>
        <w:pStyle w:val="FirstParagraph"/>
      </w:pPr>
      <w:r>
        <w:t xml:space="preserve">The Dallas-Fort Worth metropolitan area has established itself as one of the fastest-growing healthcare innovation hubs in the United States, providing a particularly attractive environment for ArdiA Health Labs’ market entry. In 2025, DFW startups raised approximately $4.8 billion across 320 or more deals, with healthcare and health technology commanding $1.2 billion of that total—the largest sector by far. The region’s ecosystem is supported by over 30 Fortune 1000 companies, providing healthcare startups with access to enterprise customers, seasoned executives, and strategic partnerships.</w:t>
      </w:r>
    </w:p>
    <w:p>
      <w:pPr>
        <w:pStyle w:val="BodyText"/>
      </w:pPr>
      <w:r>
        <w:t xml:space="preserve">Dallas has secured a position as one of three nationwide ARPA-H innovation hubs, with the $2.5 billion initiative located at Pegasus Park. This initiative positions Dallas as a hub for healthcare innovation, creating opportunities for partnerships with academic medical centers, research institutions, and technology companies. The concentration of major payers—including Blue Cross Blue Shield of Texas, UnitedHealthcare, Aetna, Cigna, and Baylor Scott &amp; White Health Plan—provides multiple potential partners with varying organizational characteristics and partnership approaches.</w:t>
      </w:r>
    </w:p>
    <w:p>
      <w:pPr>
        <w:pStyle w:val="BodyText"/>
      </w:pPr>
      <w:r>
        <w:t xml:space="preserve">The DFW health insurance market is more competitive than many U.S. metropolitan areas, with the top two players—Blue Cross Blue Shield of Texas and UnitedHealthcare—each holding approximately 30% of the overall market. In the Dallas-Plano-Irving market, Blue Cross Blue Shield holds 30% market share while UnitedHealth Group holds 28%. In the Fort Worth-Arlington market, Blue Cross Blue Shield holds 31% and UnitedHealth Group holds 27%. This competitive balance means that neither dominant player can afford to fall behind in innovation, creating opportunity for technology partners that can deliver measurable improvements in member outcomes and operational efficiency.</w:t>
      </w:r>
    </w:p>
    <w:p>
      <w:pPr>
        <w:pStyle w:val="BodyText"/>
      </w:pPr>
      <w:r>
        <w:t xml:space="preserve">The HMO segment shows different competitive dynamics that may influence partnership strategies. In the Dallas HMO market, Aetna leads with 49% market share followed by Blue Cross Blue Shield at 41%. In the Fort Worth HMO market, Aetna dominates with 71% market share. This strong Aetna presence suggests that innovation partnerships with Aetna could achieve significant scale within the DFW HMO market.</w:t>
      </w:r>
    </w:p>
    <w:p>
      <w:r>
        <w:pict>
          <v:rect style="width:0;height:1.5pt" o:hralign="center" o:hrstd="t" o:hr="t"/>
        </w:pict>
      </w:r>
    </w:p>
    <w:bookmarkEnd w:id="22"/>
    <w:bookmarkEnd w:id="23"/>
    <w:bookmarkStart w:id="28" w:name="clinic-outreach-strategy"/>
    <w:p>
      <w:pPr>
        <w:pStyle w:val="Heading2"/>
      </w:pPr>
      <w:r>
        <w:t xml:space="preserve">2. Clinic Outreach Strategy</w:t>
      </w:r>
    </w:p>
    <w:bookmarkStart w:id="24" w:name="target-market-analysis"/>
    <w:p>
      <w:pPr>
        <w:pStyle w:val="Heading3"/>
      </w:pPr>
      <w:r>
        <w:t xml:space="preserve">2.1 Target Market Analysis</w:t>
      </w:r>
    </w:p>
    <w:p>
      <w:pPr>
        <w:pStyle w:val="FirstParagraph"/>
      </w:pPr>
      <w:r>
        <w:t xml:space="preserve">The research identified 15 independent medical clinics within the target geographic area specializing in respiratory conditions, allergy and asthma care, and nephrology and kidney disease management. These clinics represent a robust healthcare ecosystem serving patients with chronic conditions throughout the northern Dallas-Fort Worth metropolitan area, with particular concentration in Denton, Lewisville, Flower Mound, and Carrollton communities.</w:t>
      </w:r>
    </w:p>
    <w:p>
      <w:pPr>
        <w:pStyle w:val="BodyText"/>
      </w:pPr>
      <w:r>
        <w:t xml:space="preserve">The pulmonary and respiratory care category represents the largest segment with seven identified practices, reflecting the significant patient population requiring respiratory specialist involvement for conditions including asthma, COPD, interstitial lung disease, and sleep-disordered breathing. Key practices include Lone Star Pulmonary and Sleep Specialists, Denton Lung Doctor, Hope Pulmonary Associates, The Lung and Sleep Center of North Texas, Fivestar Pulmonary Associates, North Texas Lung Associates, and North Texas Pulmonary Critical Care. These practices range from solo physician operations to multi-location networks, providing diverse partnership opportunities at various stages of organizational complexity.</w:t>
      </w:r>
    </w:p>
    <w:p>
      <w:pPr>
        <w:pStyle w:val="BodyText"/>
      </w:pPr>
      <w:r>
        <w:t xml:space="preserve">The allergy and asthma care segment comprises two identified practices with long operational histories and established physician leadership. North Texas Allergy and Asthma Center has provided allergy and asthma care to the Denton community for over 35 years, while Family Allergy and Asthma Care operates multiple locations serving the North DFW region. Both practices maintain multi-physician structures and comprehensive service offerings that align with ArdiA’s chronic disease management focus.</w:t>
      </w:r>
    </w:p>
    <w:p>
      <w:pPr>
        <w:pStyle w:val="BodyText"/>
      </w:pPr>
      <w:r>
        <w:t xml:space="preserve">The nephrology and kidney disease care segment accounts for six identified practices, addressing the growing demand for chronic kidney disease management services. Practices include North Texas Kidney Disease Associates, North Texas Nephrology Associates, North Texas Kidney Consultants, Texas Kidney Institute, Renal Care of Texas, and Advanced Kidney Care of North Texas. This distribution reflects the growing incidence of diabetes and hypertension-related kidney disease and the viability of independent nephrology practice in the North DFW market.</w:t>
      </w:r>
    </w:p>
    <w:bookmarkEnd w:id="24"/>
    <w:bookmarkStart w:id="25" w:name="priority-clinic-targeting-framework"/>
    <w:p>
      <w:pPr>
        <w:pStyle w:val="Heading3"/>
      </w:pPr>
      <w:r>
        <w:t xml:space="preserve">2.2 Priority Clinic Targeting Framework</w:t>
      </w:r>
    </w:p>
    <w:p>
      <w:pPr>
        <w:pStyle w:val="FirstParagraph"/>
      </w:pPr>
      <w:r>
        <w:t xml:space="preserve">Not all identified clinics represent equally attractive partnership opportunities. The recommended prioritization framework considers four key factors: practice size and patient volume, technological sophistication and innovation orientation, decision-making complexity, and geographic accessibility for implementation support.</w:t>
      </w:r>
    </w:p>
    <w:p>
      <w:pPr>
        <w:pStyle w:val="BodyText"/>
      </w:pPr>
      <w:r>
        <w:rPr>
          <w:bCs/>
          <w:b/>
        </w:rPr>
        <w:t xml:space="preserve">Tier 1 Priority Clinics</w:t>
      </w:r>
      <w:r>
        <w:t xml:space="preserve"> </w:t>
      </w:r>
      <w:r>
        <w:t xml:space="preserve">represent the highest-value targets for initial outreach. These practices demonstrate characteristics including multi-provider structures with sufficient patient volume to generate meaningful ROI data, established electronic health record systems with FHIR capabilities for integration, physician leadership with demonstrated interest in innovation, and locations within reasonable proximity for hands-on implementation support.</w:t>
      </w:r>
    </w:p>
    <w:p>
      <w:pPr>
        <w:pStyle w:val="BodyText"/>
      </w:pPr>
      <w:r>
        <w:rPr>
          <w:bCs/>
          <w:b/>
        </w:rPr>
        <w:t xml:space="preserve">Tier 2 Priority Clinics</w:t>
      </w:r>
      <w:r>
        <w:t xml:space="preserve"> </w:t>
      </w:r>
      <w:r>
        <w:t xml:space="preserve">offer strong potential but may require more extended engagement timelines. These include solo physician practices that may lack resources for extensive technology investment, practices with demonstrated interest but limited technical infrastructure, or locations distant from primary implementation support resources.</w:t>
      </w:r>
    </w:p>
    <w:p>
      <w:pPr>
        <w:pStyle w:val="BodyText"/>
      </w:pPr>
      <w:r>
        <w:rPr>
          <w:bCs/>
          <w:b/>
        </w:rPr>
        <w:t xml:space="preserve">Tier 3 Priority Clinics</w:t>
      </w:r>
      <w:r>
        <w:t xml:space="preserve"> </w:t>
      </w:r>
      <w:r>
        <w:t xml:space="preserve">represent longer-term opportunities that may benefit from reference customer development before outreach. These include practices with demonstrated affiliations to larger health systems that may prefer enterprise-wide technology relationships, or practices that have recently implemented competing solutions.</w:t>
      </w:r>
    </w:p>
    <w:p>
      <w:pPr>
        <w:pStyle w:val="BodyText"/>
      </w:pPr>
      <w:r>
        <w:t xml:space="preserve">Based on the research findings, the recommended Tier 1 clinic targets include Lone Star Pulmonary and Sleep Specialists due to their comprehensive pulmonary and sleep medicine offerings and established market presence, Fivestar Pulmonary Associates due to their multi-location structure and advanced practice provider team, North Texas Kidney Disease Associates due to their extensive physician network and multiple locations serving the target region, and Denton Lung Doctor due to their solo physician structure offering streamlined decision-making and the physician’s board certifications demonstrating commitment to quality standards.</w:t>
      </w:r>
    </w:p>
    <w:bookmarkEnd w:id="25"/>
    <w:bookmarkStart w:id="26" w:name="outreach-materials-and-templates"/>
    <w:p>
      <w:pPr>
        <w:pStyle w:val="Heading3"/>
      </w:pPr>
      <w:r>
        <w:t xml:space="preserve">2.3 Outreach Materials and Templates</w:t>
      </w:r>
    </w:p>
    <w:p>
      <w:pPr>
        <w:pStyle w:val="FirstParagraph"/>
      </w:pPr>
      <w:r>
        <w:t xml:space="preserve">Effective clinic outreach requires professional, research-based communication that demonstrates understanding of practice challenges while articulating clear value propositions. The following materials provide a foundation for multi-channel engagement.</w:t>
      </w:r>
    </w:p>
    <w:p>
      <w:pPr>
        <w:pStyle w:val="BodyText"/>
      </w:pPr>
      <w:r>
        <w:rPr>
          <w:bCs/>
          <w:b/>
        </w:rPr>
        <w:t xml:space="preserve">Initial Outreach Email Template</w:t>
      </w:r>
    </w:p>
    <w:p>
      <w:pPr>
        <w:pStyle w:val="BodyText"/>
      </w:pPr>
      <w:r>
        <w:t xml:space="preserve">The subject line should be compelling and specific:</w:t>
      </w:r>
      <w:r>
        <w:t xml:space="preserve"> </w:t>
      </w:r>
      <w:r>
        <w:t xml:space="preserve">“</w:t>
      </w:r>
      <w:r>
        <w:t xml:space="preserve">Reduce ER Visits by 65% and Generate $200K+ in New Revenue at [Practice Name].</w:t>
      </w:r>
      <w:r>
        <w:t xml:space="preserve">”</w:t>
      </w:r>
    </w:p>
    <w:p>
      <w:pPr>
        <w:pStyle w:val="BodyText"/>
      </w:pPr>
      <w:r>
        <w:t xml:space="preserve">The email body should open by acknowledging the specific challenges facing independent practices:</w:t>
      </w:r>
      <w:r>
        <w:t xml:space="preserve"> </w:t>
      </w:r>
      <w:r>
        <w:t xml:space="preserve">“</w:t>
      </w:r>
      <w:r>
        <w:t xml:space="preserve">I’m reaching out because I understand the challenges you’re facing at [Practice Name] in managing patients with chronic conditions like asthma, COPD, and kidney disease. Between inadequate reimbursement for Chronic Care Management services, alert fatigue from existing clinical tools, and the administrative burden of documentation and billing, it seems like the system is working against both you and your patients.</w:t>
      </w:r>
      <w:r>
        <w:t xml:space="preserve">”</w:t>
      </w:r>
    </w:p>
    <w:p>
      <w:pPr>
        <w:pStyle w:val="BodyText"/>
      </w:pPr>
      <w:r>
        <w:t xml:space="preserve">The value proposition should follow immediately:</w:t>
      </w:r>
      <w:r>
        <w:t xml:space="preserve"> </w:t>
      </w:r>
      <w:r>
        <w:t xml:space="preserve">“</w:t>
      </w:r>
      <w:r>
        <w:t xml:space="preserve">At ArdiA Health Labs, we’ve built something different—a Clinical Intelligence Engine that moves healthcare</w:t>
      </w:r>
      <w:r>
        <w:t xml:space="preserve"> </w:t>
      </w:r>
      <w:r>
        <w:t xml:space="preserve">‘</w:t>
      </w:r>
      <w:r>
        <w:t xml:space="preserve">from alerting to solving.</w:t>
      </w:r>
      <w:r>
        <w:t xml:space="preserve">’</w:t>
      </w:r>
      <w:r>
        <w:t xml:space="preserve"> </w:t>
      </w:r>
      <w:r>
        <w:t xml:space="preserve">Rather than sending hundreds of alerts that get ignored, our platform analyzes patterns across symptoms, environment, patient history, and device data to deliver specific, actionable solutions with clinical reasoning.</w:t>
      </w:r>
      <w:r>
        <w:t xml:space="preserve">”</w:t>
      </w:r>
    </w:p>
    <w:p>
      <w:pPr>
        <w:pStyle w:val="BodyText"/>
      </w:pPr>
      <w:r>
        <w:t xml:space="preserve">Specific outcomes should be quantified:</w:t>
      </w:r>
      <w:r>
        <w:t xml:space="preserve"> </w:t>
      </w:r>
      <w:r>
        <w:t xml:space="preserve">“</w:t>
      </w:r>
      <w:r>
        <w:t xml:space="preserve">For a practice with 100 high-risk chronic disease patients, we’ve demonstrated the potential to reduce ER visits by 65%, with each prevented ER visit representing approximately $3,800 in immediate savings. Beyond cost avoidance, our platform automates Remote Therapeutic Monitoring and Chronic Care Management workflows to create $200,000 or more in new annual revenue.</w:t>
      </w:r>
      <w:r>
        <w:t xml:space="preserve">”</w:t>
      </w:r>
    </w:p>
    <w:p>
      <w:pPr>
        <w:pStyle w:val="BodyText"/>
      </w:pPr>
      <w:r>
        <w:t xml:space="preserve">The email should close with a clear call to action:</w:t>
      </w:r>
      <w:r>
        <w:t xml:space="preserve"> </w:t>
      </w:r>
      <w:r>
        <w:t xml:space="preserve">“</w:t>
      </w:r>
      <w:r>
        <w:t xml:space="preserve">I’d love to show you a quick demo and discuss how ArdiA could work for [Practice Name]. Would you have 15 minutes next week for a brief call?</w:t>
      </w:r>
      <w:r>
        <w:t xml:space="preserve">”</w:t>
      </w:r>
    </w:p>
    <w:p>
      <w:pPr>
        <w:pStyle w:val="BodyText"/>
      </w:pPr>
      <w:r>
        <w:rPr>
          <w:bCs/>
          <w:b/>
        </w:rPr>
        <w:t xml:space="preserve">Cold Call Opening Script</w:t>
      </w:r>
    </w:p>
    <w:p>
      <w:pPr>
        <w:pStyle w:val="BodyText"/>
      </w:pPr>
      <w:r>
        <w:t xml:space="preserve">The phone-based outreach should follow a structured script that validates pain points before transitioning to value propositions:</w:t>
      </w:r>
      <w:r>
        <w:t xml:space="preserve"> </w:t>
      </w:r>
      <w:r>
        <w:t xml:space="preserve">“</w:t>
      </w:r>
      <w:r>
        <w:t xml:space="preserve">Hi [Name], this is [Your Name] from ArdiA Health Labs. I know you’re busy, so I’ll be quick. I’m reaching out because I’ve been speaking with independent practices in the [geographic area] area about the challenges they’re facing managing patients with chronic conditions like asthma, COPD, and kidney disease.</w:t>
      </w:r>
      <w:r>
        <w:t xml:space="preserve">”</w:t>
      </w:r>
    </w:p>
    <w:p>
      <w:pPr>
        <w:pStyle w:val="BodyText"/>
      </w:pPr>
      <w:r>
        <w:t xml:space="preserve">After a brief pause for response, the script continues:</w:t>
      </w:r>
      <w:r>
        <w:t xml:space="preserve"> </w:t>
      </w:r>
      <w:r>
        <w:t xml:space="preserve">“</w:t>
      </w:r>
      <w:r>
        <w:t xml:space="preserve">Based on those conversations, I understand that practices like yours are dealing with a few key issues: Chronic Care Management reimbursement that often doesn’t cover the cost of implementation, clinicians being overwhelmed by alert fatigue from existing clinical tools, and the administrative burden of documentation and billing that takes time away from patient care. Does that resonate with what you’re experiencing?</w:t>
      </w:r>
      <w:r>
        <w:t xml:space="preserve">”</w:t>
      </w:r>
    </w:p>
    <w:p>
      <w:pPr>
        <w:pStyle w:val="BodyText"/>
      </w:pPr>
      <w:r>
        <w:t xml:space="preserve">Transition to the value proposition:</w:t>
      </w:r>
      <w:r>
        <w:t xml:space="preserve"> </w:t>
      </w:r>
      <w:r>
        <w:t xml:space="preserve">“</w:t>
      </w:r>
      <w:r>
        <w:t xml:space="preserve">At ArdiA, we’ve built a Clinical Intelligence Engine that specifically addresses these challenges. Instead of sending hundreds of alerts that get ignored, we analyze patterns across symptoms, environment, patient history, and device data to deliver specific, actionable solutions with clinical reasoning.</w:t>
      </w:r>
      <w:r>
        <w:t xml:space="preserve">”</w:t>
      </w:r>
    </w:p>
    <w:p>
      <w:pPr>
        <w:pStyle w:val="BodyText"/>
      </w:pPr>
      <w:r>
        <w:t xml:space="preserve">Close with a specific example and call to action:</w:t>
      </w:r>
      <w:r>
        <w:t xml:space="preserve"> </w:t>
      </w:r>
      <w:r>
        <w:t xml:space="preserve">“</w:t>
      </w:r>
      <w:r>
        <w:t xml:space="preserve">For example, when we see that a patient’s peak flow is dropping, their voice shows changes in nasal resonance, and environmental pollen is at three times threshold, we don’t just alert you to these data points. We tell you exactly what to do:</w:t>
      </w:r>
      <w:r>
        <w:t xml:space="preserve"> </w:t>
      </w:r>
      <w:r>
        <w:t xml:space="preserve">‘</w:t>
      </w:r>
      <w:r>
        <w:t xml:space="preserve">Start nasal steroid today</w:t>
      </w:r>
      <w:r>
        <w:t xml:space="preserve">’</w:t>
      </w:r>
      <w:r>
        <w:t xml:space="preserve"> </w:t>
      </w:r>
      <w:r>
        <w:t xml:space="preserve">with the reasoning to support that recommendation. This prevents the ER visit that would otherwise occur. I’d love to show you a quick demo—would you have 15 minutes next week?</w:t>
      </w:r>
      <w:r>
        <w:t xml:space="preserve">”</w:t>
      </w:r>
    </w:p>
    <w:p>
      <w:pPr>
        <w:pStyle w:val="BodyText"/>
      </w:pPr>
      <w:r>
        <w:rPr>
          <w:bCs/>
          <w:b/>
        </w:rPr>
        <w:t xml:space="preserve">Discovery Call Framework</w:t>
      </w:r>
    </w:p>
    <w:p>
      <w:pPr>
        <w:pStyle w:val="BodyText"/>
      </w:pPr>
      <w:r>
        <w:t xml:space="preserve">When clinics express interest, a structured discovery call should assess fit and customize the value proposition. The call opening should express appreciation and establish rapport:</w:t>
      </w:r>
      <w:r>
        <w:t xml:space="preserve"> </w:t>
      </w:r>
      <w:r>
        <w:t xml:space="preserve">“</w:t>
      </w:r>
      <w:r>
        <w:t xml:space="preserve">Thank you for taking the time to speak with me today, [Name]. Before I dive into what ArdiA does, I’d like to understand more about [Practice Name] and your specific needs. Could you tell me a bit about your practice and the patients you serve?</w:t>
      </w:r>
      <w:r>
        <w:t xml:space="preserve">”</w:t>
      </w:r>
    </w:p>
    <w:p>
      <w:pPr>
        <w:pStyle w:val="BodyText"/>
      </w:pPr>
      <w:r>
        <w:t xml:space="preserve">The needs assessment should explore key areas through open-ended questions:</w:t>
      </w:r>
      <w:r>
        <w:t xml:space="preserve"> </w:t>
      </w:r>
      <w:r>
        <w:t xml:space="preserve">“</w:t>
      </w:r>
      <w:r>
        <w:t xml:space="preserve">What percentage of your patient population has chronic conditions like asthma, COPD, or kidney disease? What are the biggest challenges you face in managing these patients? Are you currently using any clinical AI or decision support tools? What’s been your experience with them? How are you currently handling Chronic Care Management and Remote Therapeutic Monitoring services? What would success look like for you in terms of chronic care management—what outcomes are you trying to achieve?</w:t>
      </w:r>
      <w:r>
        <w:t xml:space="preserve">”</w:t>
      </w:r>
    </w:p>
    <w:p>
      <w:pPr>
        <w:pStyle w:val="BodyText"/>
      </w:pPr>
      <w:r>
        <w:t xml:space="preserve">The solution presentation should address each identified pain point with specific capabilities:</w:t>
      </w:r>
      <w:r>
        <w:t xml:space="preserve"> </w:t>
      </w:r>
      <w:r>
        <w:t xml:space="preserve">“</w:t>
      </w:r>
      <w:r>
        <w:t xml:space="preserve">Based on what you’ve shared, I think ArdiA could be a strong fit for [Practice Name]. Let me explain how our Clinical Intelligence Engine works and how it addresses the specific challenges you mentioned.</w:t>
      </w:r>
      <w:r>
        <w:t xml:space="preserve">”</w:t>
      </w:r>
    </w:p>
    <w:bookmarkEnd w:id="26"/>
    <w:bookmarkStart w:id="27" w:name="objection-handling-strategies"/>
    <w:p>
      <w:pPr>
        <w:pStyle w:val="Heading3"/>
      </w:pPr>
      <w:r>
        <w:t xml:space="preserve">2.4 Objection Handling Strategies</w:t>
      </w:r>
    </w:p>
    <w:p>
      <w:pPr>
        <w:pStyle w:val="FirstParagraph"/>
      </w:pPr>
      <w:r>
        <w:t xml:space="preserve">Common objections from clinic decision-makers require prepared responses that address concerns while reinforcing value propositions.</w:t>
      </w:r>
    </w:p>
    <w:p>
      <w:pPr>
        <w:pStyle w:val="BodyText"/>
      </w:pPr>
      <w:r>
        <w:rPr>
          <w:bCs/>
          <w:b/>
        </w:rPr>
        <w:t xml:space="preserve">Objection:</w:t>
      </w:r>
      <w:r>
        <w:rPr>
          <w:bCs/>
          <w:b/>
        </w:rPr>
        <w:t xml:space="preserve"> </w:t>
      </w:r>
      <w:r>
        <w:rPr>
          <w:bCs/>
          <w:b/>
        </w:rPr>
        <w:t xml:space="preserve">“</w:t>
      </w:r>
      <w:r>
        <w:rPr>
          <w:bCs/>
          <w:b/>
        </w:rPr>
        <w:t xml:space="preserve">We already have an EHR with built-in AI capabilities.</w:t>
      </w:r>
      <w:r>
        <w:rPr>
          <w:bCs/>
          <w:b/>
        </w:rPr>
        <w:t xml:space="preserve">”</w:t>
      </w:r>
    </w:p>
    <w:p>
      <w:pPr>
        <w:pStyle w:val="BodyText"/>
      </w:pPr>
      <w:r>
        <w:t xml:space="preserve">Response:</w:t>
      </w:r>
      <w:r>
        <w:t xml:space="preserve"> </w:t>
      </w:r>
      <w:r>
        <w:t xml:space="preserve">“</w:t>
      </w:r>
      <w:r>
        <w:t xml:space="preserve">I understand—[EHR name] has some strong capabilities, and their integration makes things convenient. The key difference with ArdiA is our focus on reasoning rather than alerts. Most EHR-based AI tools generate a high volume of alerts that clinicians learn to ignore. We don’t do that. Instead, our platform analyzes patterns across multiple data sources and delivers specific solutions with clinical reasoning. For example, we don’t just tell you that a patient’s peak flow is dropping—we tell you what to do about it based on their specific pattern of symptoms, history, and environmental factors. Many of our customers started with their EHR’s capabilities and found that ArdiA complements them well.</w:t>
      </w:r>
      <w:r>
        <w:t xml:space="preserve">”</w:t>
      </w:r>
    </w:p>
    <w:p>
      <w:pPr>
        <w:pStyle w:val="BodyText"/>
      </w:pPr>
      <w:r>
        <w:rPr>
          <w:bCs/>
          <w:b/>
        </w:rPr>
        <w:t xml:space="preserve">Objection:</w:t>
      </w:r>
      <w:r>
        <w:rPr>
          <w:bCs/>
          <w:b/>
        </w:rPr>
        <w:t xml:space="preserve"> </w:t>
      </w:r>
      <w:r>
        <w:rPr>
          <w:bCs/>
          <w:b/>
        </w:rPr>
        <w:t xml:space="preserve">“</w:t>
      </w:r>
      <w:r>
        <w:rPr>
          <w:bCs/>
          <w:b/>
        </w:rPr>
        <w:t xml:space="preserve">AI tools haven’t worked for us in the past.</w:t>
      </w:r>
      <w:r>
        <w:rPr>
          <w:bCs/>
          <w:b/>
        </w:rPr>
        <w:t xml:space="preserve">”</w:t>
      </w:r>
    </w:p>
    <w:p>
      <w:pPr>
        <w:pStyle w:val="BodyText"/>
      </w:pPr>
      <w:r>
        <w:t xml:space="preserve">Response:</w:t>
      </w:r>
      <w:r>
        <w:t xml:space="preserve"> </w:t>
      </w:r>
      <w:r>
        <w:t xml:space="preserve">“</w:t>
      </w:r>
      <w:r>
        <w:t xml:space="preserve">I’m sorry to hear that—unfortunately, many clinical AI tools have created more problems than they’ve solved, particularly when it comes to alert fatigue. That’s exactly why we built ArdiA differently. Our fundamental approach is</w:t>
      </w:r>
      <w:r>
        <w:t xml:space="preserve"> </w:t>
      </w:r>
      <w:r>
        <w:t xml:space="preserve">‘</w:t>
      </w:r>
      <w:r>
        <w:t xml:space="preserve">from alerting to solving.</w:t>
      </w:r>
      <w:r>
        <w:t xml:space="preserve">’</w:t>
      </w:r>
      <w:r>
        <w:t xml:space="preserve"> </w:t>
      </w:r>
      <w:r>
        <w:t xml:space="preserve">We don’t generate hundreds of alerts; we analyze patterns and deliver specific, actionable solutions with clinical reasoning. Our implementation also includes significant workflow integration to ensure that the platform fits into your existing processes rather than creating additional work.</w:t>
      </w:r>
      <w:r>
        <w:t xml:space="preserve">”</w:t>
      </w:r>
    </w:p>
    <w:p>
      <w:pPr>
        <w:pStyle w:val="BodyText"/>
      </w:pPr>
      <w:r>
        <w:rPr>
          <w:bCs/>
          <w:b/>
        </w:rPr>
        <w:t xml:space="preserve">Objection:</w:t>
      </w:r>
      <w:r>
        <w:rPr>
          <w:bCs/>
          <w:b/>
        </w:rPr>
        <w:t xml:space="preserve"> </w:t>
      </w:r>
      <w:r>
        <w:rPr>
          <w:bCs/>
          <w:b/>
        </w:rPr>
        <w:t xml:space="preserve">“</w:t>
      </w:r>
      <w:r>
        <w:rPr>
          <w:bCs/>
          <w:b/>
        </w:rPr>
        <w:t xml:space="preserve">We’re too small for this kind of solution.</w:t>
      </w:r>
      <w:r>
        <w:rPr>
          <w:bCs/>
          <w:b/>
        </w:rPr>
        <w:t xml:space="preserve">”</w:t>
      </w:r>
    </w:p>
    <w:p>
      <w:pPr>
        <w:pStyle w:val="BodyText"/>
      </w:pPr>
      <w:r>
        <w:t xml:space="preserve">Response:</w:t>
      </w:r>
      <w:r>
        <w:t xml:space="preserve"> </w:t>
      </w:r>
      <w:r>
        <w:t xml:space="preserve">“</w:t>
      </w:r>
      <w:r>
        <w:t xml:space="preserve">That’s actually one of the things that makes ArdiA particularly valuable for practices of your size. We specifically designed our platform for independent practices that don’t have the resources of large health systems. Our pricing model scales with your patient population, and the automation of RTM/CCM workflows means you don’t need to hire additional staff to manage chronic care. In fact, for a practice your size, the revenue generation potential is often more impactful because it represents a larger percentage of overall revenue. We have several practices with 2-5 providers who are generating $150,000-$300,000 annually in new RTM/CCM revenue.</w:t>
      </w:r>
      <w:r>
        <w:t xml:space="preserve">”</w:t>
      </w:r>
    </w:p>
    <w:p>
      <w:r>
        <w:pict>
          <v:rect style="width:0;height:1.5pt" o:hralign="center" o:hrstd="t" o:hr="t"/>
        </w:pict>
      </w:r>
    </w:p>
    <w:bookmarkEnd w:id="27"/>
    <w:bookmarkEnd w:id="28"/>
    <w:bookmarkStart w:id="34" w:name="investor-and-funding-strategy"/>
    <w:p>
      <w:pPr>
        <w:pStyle w:val="Heading2"/>
      </w:pPr>
      <w:r>
        <w:t xml:space="preserve">3. Investor and Funding Strategy</w:t>
      </w:r>
    </w:p>
    <w:bookmarkStart w:id="29" w:name="dallas-fort-worth-investment-landscape"/>
    <w:p>
      <w:pPr>
        <w:pStyle w:val="Heading3"/>
      </w:pPr>
      <w:r>
        <w:t xml:space="preserve">3.1 Dallas-Fort Worth Investment Landscape</w:t>
      </w:r>
    </w:p>
    <w:p>
      <w:pPr>
        <w:pStyle w:val="FirstParagraph"/>
      </w:pPr>
      <w:r>
        <w:t xml:space="preserve">The DFW healthcare investment ecosystem has matured significantly, with $1.2 billion in healthcare funding in 2025 and a robust network of local investors, angel networks, and accelerators ready to support healthcare innovation. Understanding the regional investment landscape is essential for positioning ArdiA Health Labs effectively with investors who understand both the healthcare market and the local business environment.</w:t>
      </w:r>
    </w:p>
    <w:p>
      <w:pPr>
        <w:pStyle w:val="BodyText"/>
      </w:pPr>
      <w:r>
        <w:rPr>
          <w:bCs/>
          <w:b/>
        </w:rPr>
        <w:t xml:space="preserve">Scientific Health Development Partners</w:t>
      </w:r>
      <w:r>
        <w:t xml:space="preserve"> </w:t>
      </w:r>
      <w:r>
        <w:t xml:space="preserve">represents the premier DFW-focused medtech venture capital firm. Headquartered in Dallas, SHD Partners specializes exclusively in early-stage medtech investments with a focus on innovative medical technologies that address unmet clinical needs. The firm’s investment philosophy centers on easily adoptable technologies that improve patient outcomes while minimizing overall economic burden on the healthcare system. SHD Partners specifically targets U.S.-based early-stage medtech companies that demonstrate clear clinical utility and commercial potential, making them an ideal match for ArdiA’s clinical reasoning platform. Contact should be initiated through their website contact page.</w:t>
      </w:r>
    </w:p>
    <w:p>
      <w:pPr>
        <w:pStyle w:val="BodyText"/>
      </w:pPr>
      <w:r>
        <w:rPr>
          <w:bCs/>
          <w:b/>
        </w:rPr>
        <w:t xml:space="preserve">Health Wildcatters</w:t>
      </w:r>
      <w:r>
        <w:t xml:space="preserve"> </w:t>
      </w:r>
      <w:r>
        <w:t xml:space="preserve">stands as the region’s premier healthcare accelerator, having supported over 130 portfolio companies that have collectively raised more than $350 million in follow-on funding. The 10-week accelerator program runs annually from September to November, admitting 8 to 12 startups per cohort who receive seed investment and access to an extensive mentor network of over 200 mentors spanning the healthcare industry, professional services, and related verticals. For ArdiA Health Labs, Health Wildcatters offers structured support, seed investment, and access to healthcare industry expertise that can accelerate market entry and partnership development. The application process is competitive, but the program’s focus on companies that can benefit from clinical validation support and payer/provider network makes it particularly relevant.</w:t>
      </w:r>
    </w:p>
    <w:p>
      <w:pPr>
        <w:pStyle w:val="BodyText"/>
      </w:pPr>
      <w:r>
        <w:rPr>
          <w:bCs/>
          <w:b/>
        </w:rPr>
        <w:t xml:space="preserve">Green Park and Golf Ventures</w:t>
      </w:r>
      <w:r>
        <w:t xml:space="preserve"> </w:t>
      </w:r>
      <w:r>
        <w:t xml:space="preserve">bridges healthcare innovation with enterprise technology investment, with investment focus encompassing healthcare, life sciences, and data-driven enterprise software. The firm targets seed to Series A investments and has built a portfolio that includes Lantern Pharma, OncoLens, and BioIQ—companies at the forefront of digitizing healthcare delivery and operations. Their Dallas headquarters provides geographic proximity to major healthcare systems and payers in the DFW region, enabling meaningful engagement with the local healthcare ecosystem.</w:t>
      </w:r>
    </w:p>
    <w:p>
      <w:pPr>
        <w:pStyle w:val="BodyText"/>
      </w:pPr>
      <w:r>
        <w:rPr>
          <w:bCs/>
          <w:b/>
        </w:rPr>
        <w:t xml:space="preserve">Sentiero Ventures</w:t>
      </w:r>
      <w:r>
        <w:t xml:space="preserve"> </w:t>
      </w:r>
      <w:r>
        <w:t xml:space="preserve">invests in early-stage startups developing artificial intelligence-enabled SaaS solutions, with particular interest in applied AI for enterprise and B2B use cases including healthcare applications. The firm’s investment stage focus spans pre-seed to seed rounds, making them particularly attractive for healthcare AI companies at the earliest stages of commercialization. Sentiero Ventures actively backs startups using AI to reshape business operations across multiple sectors, offering domain expertise and early capital to AI founders navigating the complex healthcare landscape.</w:t>
      </w:r>
    </w:p>
    <w:p>
      <w:pPr>
        <w:pStyle w:val="BodyText"/>
      </w:pPr>
      <w:r>
        <w:rPr>
          <w:bCs/>
          <w:b/>
        </w:rPr>
        <w:t xml:space="preserve">North Texas Angel Network</w:t>
      </w:r>
      <w:r>
        <w:t xml:space="preserve"> </w:t>
      </w:r>
      <w:r>
        <w:t xml:space="preserve">represents the largest angel network in the Dallas Metroplex, comprising approximately 70 members who collectively invest in 10 to 15 dynamic startups annually. Individual angel checks typically range from $25,000 to $250,000 per investor, with syndicate rounds aggregating $250,000 to $750,000 in total investment. This capital structure is well-suited for healthcare AI companies at the prototype or early revenue stages that need funding to advance product development and initiate market engagement.</w:t>
      </w:r>
    </w:p>
    <w:bookmarkEnd w:id="29"/>
    <w:bookmarkStart w:id="30" w:name="national-healthcare-ai-investors"/>
    <w:p>
      <w:pPr>
        <w:pStyle w:val="Heading3"/>
      </w:pPr>
      <w:r>
        <w:t xml:space="preserve">3.2 National Healthcare AI Investors</w:t>
      </w:r>
    </w:p>
    <w:p>
      <w:pPr>
        <w:pStyle w:val="FirstParagraph"/>
      </w:pPr>
      <w:r>
        <w:t xml:space="preserve">National healthcare AI investment has reached unprecedented levels, with $10.5 billion in venture capital funding in 2024 and healthcare AI spending hitting $1.4 billion in 2025. The following investors represent the most active and influential healthcare AI-focused firms nationally.</w:t>
      </w:r>
    </w:p>
    <w:p>
      <w:pPr>
        <w:pStyle w:val="BodyText"/>
      </w:pPr>
      <w:r>
        <w:rPr>
          <w:bCs/>
          <w:b/>
        </w:rPr>
        <w:t xml:space="preserve">Andreessen Horowitz</w:t>
      </w:r>
      <w:r>
        <w:t xml:space="preserve"> </w:t>
      </w:r>
      <w:r>
        <w:t xml:space="preserve">is one of the most prominent venture capital firms in Silicon Valley and actively invests in digital health and healthcare AI companies. The firm’s investment approach focuses on active engagement in digital health, technology platforms including horizontal infrastructure and full-stack tech-enabled services, and ex-founders who can relate to entrepreneur challenges. a16z’s typical investment range for pre-seed and seed rounds is $1 million to $10 million, providing substantial capital for healthcare AI companies at early stages. The firm’s healthcare portfolio includes companies such as Omada, Komodo, Ribbon Health, Marley Medical, and Turquoise Health, demonstrating their appetite for AI-enabled healthcare solutions across various care delivery and administrative applications. Initial outreach should be directed to Justin Larkin.</w:t>
      </w:r>
    </w:p>
    <w:p>
      <w:pPr>
        <w:pStyle w:val="BodyText"/>
      </w:pPr>
      <w:r>
        <w:rPr>
          <w:bCs/>
          <w:b/>
        </w:rPr>
        <w:t xml:space="preserve">7wireVentures</w:t>
      </w:r>
      <w:r>
        <w:t xml:space="preserve"> </w:t>
      </w:r>
      <w:r>
        <w:t xml:space="preserve">is an early-stage healthcare-focused venture capital firm that invests in companies enabling informed and connected health consumers. The firm’s investment approach emphasizes partnering with amazing leaders—specifically healthcare operators who get in the trenches with founders to help build successful companies. The firm’s typical investment range is $4-6 million per company, positioning them as meaningful investors in seed and Series A rounds. 7wireVentures’ portfolio includes Livongo and Caraway, demonstrating their interest in both enterprise and consumer-facing healthcare applications. Initial outreach should be directed to tunde@7wireventures.com.</w:t>
      </w:r>
    </w:p>
    <w:p>
      <w:pPr>
        <w:pStyle w:val="BodyText"/>
      </w:pPr>
      <w:r>
        <w:rPr>
          <w:bCs/>
          <w:b/>
        </w:rPr>
        <w:t xml:space="preserve">Rock Health</w:t>
      </w:r>
      <w:r>
        <w:t xml:space="preserve"> </w:t>
      </w:r>
      <w:r>
        <w:t xml:space="preserve">operates as both a venture fund and an advisory firm dedicated to accelerating digital health innovation. The organization’s unique model bridges the knowledge gap between early innovators and major corporations, providing strategic insights into the healthcare industry while making direct investments. Rock Health’s typical investment range is $500,000 to $5 million per company, with approximately 4-5 deals per year. The organization does not invest in services-only businesses, drugs, or pure-play diagnostics and medical devices, focusing instead on technology-enabled solutions that can scale efficiently. Initial outreach should be directed to venture@rockhealth.com or General Partner Bill Evans.</w:t>
      </w:r>
    </w:p>
    <w:p>
      <w:pPr>
        <w:pStyle w:val="BodyText"/>
      </w:pPr>
      <w:r>
        <w:rPr>
          <w:bCs/>
          <w:b/>
        </w:rPr>
        <w:t xml:space="preserve">Digital Health Venture Partners</w:t>
      </w:r>
      <w:r>
        <w:t xml:space="preserve"> </w:t>
      </w:r>
      <w:r>
        <w:t xml:space="preserve">is a seed-stage venture capital firm headquartered in Washington, D.C., that invests exclusively in healthcare software and AI-enabled services companies. The firm partners with founders developing technologies, products, and services that solve healthcare problems, create access, transform patient care and outcomes, and reduce the cost of healthcare delivery. DHVP’s portfolio demonstrates a strong focus on AI applications across the healthcare continuum, including ArcHouse, Avo, BeHuman Health, Suki, Health Gorilla, and Luma. Initial outreach should be directed to info@dhvp.io.</w:t>
      </w:r>
    </w:p>
    <w:p>
      <w:pPr>
        <w:pStyle w:val="BodyText"/>
      </w:pPr>
      <w:r>
        <w:rPr>
          <w:bCs/>
          <w:b/>
        </w:rPr>
        <w:t xml:space="preserve">General Catalyst</w:t>
      </w:r>
      <w:r>
        <w:t xml:space="preserve"> </w:t>
      </w:r>
      <w:r>
        <w:t xml:space="preserve">makes early-stage and transformational investments in technology companies and market-leading businesses, with a healthcare investment thesis centered around their</w:t>
      </w:r>
      <w:r>
        <w:t xml:space="preserve"> </w:t>
      </w:r>
      <w:r>
        <w:t xml:space="preserve">“</w:t>
      </w:r>
      <w:r>
        <w:t xml:space="preserve">Health Assurance</w:t>
      </w:r>
      <w:r>
        <w:t xml:space="preserve">”</w:t>
      </w:r>
      <w:r>
        <w:t xml:space="preserve"> </w:t>
      </w:r>
      <w:r>
        <w:t xml:space="preserve">vision—a resilient, proactive healthcare system that bends the cost curve while improving quality, access, equity, and affordability. The firm demonstrates tremendous flexibility in investment sizes and stages, preferring to lead investments with ownership commensurate with their level of involvement. Initial outreach should be directed to Holly Maloney or Mo Punjwani.</w:t>
      </w:r>
    </w:p>
    <w:bookmarkEnd w:id="30"/>
    <w:bookmarkStart w:id="31" w:name="X2103bef37e1d004408db7e7b9294171d251436c"/>
    <w:p>
      <w:pPr>
        <w:pStyle w:val="Heading3"/>
      </w:pPr>
      <w:r>
        <w:t xml:space="preserve">3.3 Healthcare Accelerators and Non-Dilutive Funding</w:t>
      </w:r>
    </w:p>
    <w:p>
      <w:pPr>
        <w:pStyle w:val="FirstParagraph"/>
      </w:pPr>
      <w:r>
        <w:t xml:space="preserve">Beyond traditional venture capital, healthcare AI companies can access significant funding through accelerator programs and non-dilutive sources.</w:t>
      </w:r>
    </w:p>
    <w:p>
      <w:pPr>
        <w:pStyle w:val="BodyText"/>
      </w:pPr>
      <w:r>
        <w:rPr>
          <w:bCs/>
          <w:b/>
        </w:rPr>
        <w:t xml:space="preserve">National Science Foundation SBIR Program</w:t>
      </w:r>
      <w:r>
        <w:t xml:space="preserve"> </w:t>
      </w:r>
      <w:r>
        <w:t xml:space="preserve">offers non-dilutive funding for early-stage research and development, providing grants ranging from $275,000 to $2,000,000 per startup. The NSF focuses on deep technologies based on fundamental science and engineering discoveries, with specific interest in digital health and biomedical technologies. This non-dilutive funding model is particularly valuable for healthcare AI companies that may be developing novel algorithms or technologies that require extended research timelines before generating revenue.</w:t>
      </w:r>
    </w:p>
    <w:p>
      <w:pPr>
        <w:pStyle w:val="BodyText"/>
      </w:pPr>
      <w:r>
        <w:rPr>
          <w:bCs/>
          <w:b/>
        </w:rPr>
        <w:t xml:space="preserve">National Institutes of Health SBIR Program</w:t>
      </w:r>
      <w:r>
        <w:t xml:space="preserve"> </w:t>
      </w:r>
      <w:r>
        <w:t xml:space="preserve">represents the largest source of early-stage capital for life sciences in the United States, providing non-dilutive funds ranging from $300,000 to $3,000,000. The NIH invests over $1.2 billion annually, funding approximately 850 deals per year. For healthcare AI companies developing solutions with clinical applications or that require rigorous scientific validation, NIH funding can provide essential non-dilutive capital while maintaining equity for founders.</w:t>
      </w:r>
    </w:p>
    <w:p>
      <w:pPr>
        <w:pStyle w:val="BodyText"/>
      </w:pPr>
      <w:r>
        <w:rPr>
          <w:bCs/>
          <w:b/>
        </w:rPr>
        <w:t xml:space="preserve">Cedars-Sinai Accelerator</w:t>
      </w:r>
      <w:r>
        <w:t xml:space="preserve"> </w:t>
      </w:r>
      <w:r>
        <w:t xml:space="preserve">provides a 3-month program based in Los Angeles with a $100,000 convertible debt note with a $5 million cap and no discount. The program includes extensive mentorship from over 300 leading Cedars-Sinai clinicians and executives, along with technical support from a 600-plus person IT team. The program’s three-phase structure provides progressive support: mentor engagement and feedback in month one, guidance on product and market fit in month two, and fundraising preparation culminating in Demo Day in month three.</w:t>
      </w:r>
    </w:p>
    <w:p>
      <w:pPr>
        <w:pStyle w:val="BodyText"/>
      </w:pPr>
      <w:r>
        <w:rPr>
          <w:bCs/>
          <w:b/>
        </w:rPr>
        <w:t xml:space="preserve">Medtech Innovator</w:t>
      </w:r>
      <w:r>
        <w:t xml:space="preserve"> </w:t>
      </w:r>
      <w:r>
        <w:t xml:space="preserve">is a leading accelerator for early to mid-stage medical device, diagnostic, or digital health companies that have not yet closed a Series B round. The program runs from June to October annually, providing networking, workshops, and pitching opportunities to investors, manufacturers, and providers. Selected companies receive up to $500,000 in non-dilutive cash prizes and awards, including incubator space from Johnson and Johnson Innovation JLABS.</w:t>
      </w:r>
    </w:p>
    <w:bookmarkEnd w:id="31"/>
    <w:bookmarkStart w:id="32" w:name="pitch-competition-opportunities"/>
    <w:p>
      <w:pPr>
        <w:pStyle w:val="Heading3"/>
      </w:pPr>
      <w:r>
        <w:t xml:space="preserve">3.4 Pitch Competition Opportunities</w:t>
      </w:r>
    </w:p>
    <w:p>
      <w:pPr>
        <w:pStyle w:val="FirstParagraph"/>
      </w:pPr>
      <w:r>
        <w:t xml:space="preserve">Healthcare pitch competitions provide visibility, prizes, and connections with investors and industry leaders.</w:t>
      </w:r>
    </w:p>
    <w:p>
      <w:pPr>
        <w:pStyle w:val="BodyText"/>
      </w:pPr>
      <w:r>
        <w:rPr>
          <w:bCs/>
          <w:b/>
        </w:rPr>
        <w:t xml:space="preserve">MedTech Color Pitch Competition</w:t>
      </w:r>
      <w:r>
        <w:t xml:space="preserve"> </w:t>
      </w:r>
      <w:r>
        <w:t xml:space="preserve">partners with MedTech Innovator to support early-stage medical device and technology companies, with a focus on diversifying Medtech by providing resources, mentorship, and funding to founders. Since 2021, the program has awarded over $1.1 million in non-dilutive funding and in-kind resources to portfolio companies. The 2024 competition awarded first place prizes of $75,000, second place of $50,000, third place of $25,000, and a Community Impact Prize of $5,000.</w:t>
      </w:r>
    </w:p>
    <w:p>
      <w:pPr>
        <w:pStyle w:val="BodyText"/>
      </w:pPr>
      <w:r>
        <w:rPr>
          <w:bCs/>
          <w:b/>
        </w:rPr>
        <w:t xml:space="preserve">MEDICA START-UP COMPETITION</w:t>
      </w:r>
      <w:r>
        <w:t xml:space="preserve"> </w:t>
      </w:r>
      <w:r>
        <w:t xml:space="preserve">is in its 14th year seeking outstanding innovations in digital health, including AI in healthcare, robotics, health apps, and lab diagnostics. Selected companies are recognized among the</w:t>
      </w:r>
      <w:r>
        <w:t xml:space="preserve"> </w:t>
      </w:r>
      <w:r>
        <w:t xml:space="preserve">“</w:t>
      </w:r>
      <w:r>
        <w:t xml:space="preserve">Top 15 Medical Start-ups</w:t>
      </w:r>
      <w:r>
        <w:t xml:space="preserve">”</w:t>
      </w:r>
      <w:r>
        <w:t xml:space="preserve"> </w:t>
      </w:r>
      <w:r>
        <w:t xml:space="preserve">and present their solutions at the MEDICA INNOVATION FORUM. The MEDICA trade fair is one of the world’s largest medical technology events, providing unparalleled visibility for winning companies.</w:t>
      </w:r>
    </w:p>
    <w:p>
      <w:pPr>
        <w:pStyle w:val="BodyText"/>
      </w:pPr>
      <w:r>
        <w:rPr>
          <w:bCs/>
          <w:b/>
        </w:rPr>
        <w:t xml:space="preserve">Health Tech Challengers</w:t>
      </w:r>
      <w:r>
        <w:t xml:space="preserve"> </w:t>
      </w:r>
      <w:r>
        <w:t xml:space="preserve">features eight application tracks for innovative digital health startups, including Connected Care, AI Supported Healthcare, TechBio, Disruptive Diagnostics, Chronic Disease Management, Consumer Tech and Wellness, Women’s Health, and a Solving X category for rule-breaking innovations. The 2025 competition timeline includes application deadline on September 15, Top 80 announcement on October 1, and finals on December 3-4 at the Health Tech Forward conference.</w:t>
      </w:r>
    </w:p>
    <w:bookmarkEnd w:id="32"/>
    <w:bookmarkStart w:id="33" w:name="investor-outreach-strategy"/>
    <w:p>
      <w:pPr>
        <w:pStyle w:val="Heading3"/>
      </w:pPr>
      <w:r>
        <w:t xml:space="preserve">3.5 Investor Outreach Strategy</w:t>
      </w:r>
    </w:p>
    <w:p>
      <w:pPr>
        <w:pStyle w:val="FirstParagraph"/>
      </w:pPr>
      <w:r>
        <w:t xml:space="preserve">Effective investor engagement requires understanding each firm’s thesis and positioning ArdiA’s value proposition accordingly.</w:t>
      </w:r>
    </w:p>
    <w:p>
      <w:pPr>
        <w:pStyle w:val="BodyText"/>
      </w:pPr>
      <w:r>
        <w:rPr>
          <w:bCs/>
          <w:b/>
        </w:rPr>
        <w:t xml:space="preserve">Initial Outreach Framework</w:t>
      </w:r>
      <w:r>
        <w:t xml:space="preserve">: All initial outreach should be concise, professional, and demonstrate clear understanding of the target investor’s thesis. The outreach should include a brief company description focusing on the specific problem being solved, quantifiable market opportunity, unique technology or approach, and traction to date including customer pilots or revenue. Email subject lines should reference relevant portfolio companies or investment themes to increase open rates.</w:t>
      </w:r>
    </w:p>
    <w:p>
      <w:pPr>
        <w:pStyle w:val="BodyText"/>
      </w:pPr>
      <w:r>
        <w:rPr>
          <w:bCs/>
          <w:b/>
        </w:rPr>
        <w:t xml:space="preserve">Pitch Deck Structure</w:t>
      </w:r>
      <w:r>
        <w:t xml:space="preserve">: Investor presentations should follow a standard structure that addresses key questions efficiently. The deck should open with the problem statement, articulating the specific challenge in chronic disease management that ArdiA addresses. The solution section should explain the Clinical Intelligence Engine and its unique approach of</w:t>
      </w:r>
      <w:r>
        <w:t xml:space="preserve"> </w:t>
      </w:r>
      <w:r>
        <w:t xml:space="preserve">“</w:t>
      </w:r>
      <w:r>
        <w:t xml:space="preserve">reasoning not alerting.</w:t>
      </w:r>
      <w:r>
        <w:t xml:space="preserve">”</w:t>
      </w:r>
      <w:r>
        <w:t xml:space="preserve"> </w:t>
      </w:r>
      <w:r>
        <w:t xml:space="preserve">The market opportunity should quantify the size of the chronic disease management market and ArdiA’s addressable segment. Traction slides should present customer pilot results, key metrics, and evidence of product-market fit. The business model should explain revenue generation through RTM and CCM automation and other revenue streams. The team section should highlight relevant expertise and key hires. The ask should specify funding amount, use of funds, and key milestones.</w:t>
      </w:r>
    </w:p>
    <w:p>
      <w:pPr>
        <w:pStyle w:val="BodyText"/>
      </w:pPr>
      <w:r>
        <w:rPr>
          <w:bCs/>
          <w:b/>
        </w:rPr>
        <w:t xml:space="preserve">Relationship Building</w:t>
      </w:r>
      <w:r>
        <w:t xml:space="preserve">: The relationship-driven nature of healthcare investing emphasizes the importance of warm introductions where possible. Building a network of referral partners—including healthcare technology companies, consulting firms, and industry thought leaders—should be a strategic priority. Attending healthcare technology conferences and participating in industry events provides opportunities to build relationships with investors who share the stage or attend the same sessions.</w:t>
      </w:r>
    </w:p>
    <w:p>
      <w:r>
        <w:pict>
          <v:rect style="width:0;height:1.5pt" o:hralign="center" o:hrstd="t" o:hr="t"/>
        </w:pict>
      </w:r>
    </w:p>
    <w:bookmarkEnd w:id="33"/>
    <w:bookmarkEnd w:id="34"/>
    <w:bookmarkStart w:id="40" w:name="insurance-payer-strategy"/>
    <w:p>
      <w:pPr>
        <w:pStyle w:val="Heading2"/>
      </w:pPr>
      <w:r>
        <w:t xml:space="preserve">4. Insurance Payer Strategy</w:t>
      </w:r>
    </w:p>
    <w:bookmarkStart w:id="35" w:name="payer-market-opportunity"/>
    <w:p>
      <w:pPr>
        <w:pStyle w:val="Heading3"/>
      </w:pPr>
      <w:r>
        <w:t xml:space="preserve">4.1 Payer Market Opportunity</w:t>
      </w:r>
    </w:p>
    <w:p>
      <w:pPr>
        <w:pStyle w:val="FirstParagraph"/>
      </w:pPr>
      <w:r>
        <w:t xml:space="preserve">The payer market represents a substantial opportunity for clinical reasoning engine platforms, with demonstrated returns exceeding $7 for every $1 invested in AI-powered readmission reduction programs. Healthcare AI spending reached $1.4 billion in 2025, but payers represent only 5% of AI spending at $50 million, reflecting an untapped opportunity with significant growth potential. The lower payer adoption rate is attributed to longer procurement cycles, regulatory caution, and the complexity of integrating new AI capabilities into existing claims processing and care management systems.</w:t>
      </w:r>
    </w:p>
    <w:p>
      <w:pPr>
        <w:pStyle w:val="BodyText"/>
      </w:pPr>
      <w:r>
        <w:t xml:space="preserve">For clinical reasoning engine platforms, this represents a market segment with significant growth potential but requiring patience and sophisticated engagement strategies. Cost is not the primary concern for payer organizations evaluating AI solutions—organizations are willing to pay a premium for trustworthy solutions due to the significant risks associated with failure, including operational disruption, clinical error, and reputational harm. This finding has important implications: demonstrating reliability, security, and clinical validation is more important than competing on price.</w:t>
      </w:r>
    </w:p>
    <w:p>
      <w:pPr>
        <w:pStyle w:val="BodyText"/>
      </w:pPr>
      <w:r>
        <w:t xml:space="preserve">The Dallas-Fort Worth market presents a particularly attractive starting point for payer engagement. The competitive dynamics—with Blue Cross Blue Shield of Texas and UnitedHealthcare each holding approximately 30% market share—means that neither dominant player can afford to fall behind in innovation. The presence of strong regional players like Baylor Scott &amp; White Health Plan and Aetna’s substantial HMO presence provides multiple potential partners with varying organizational characteristics and partnership approaches.</w:t>
      </w:r>
    </w:p>
    <w:bookmarkEnd w:id="35"/>
    <w:bookmarkStart w:id="36" w:name="payer-decision-making-structure"/>
    <w:p>
      <w:pPr>
        <w:pStyle w:val="Heading3"/>
      </w:pPr>
      <w:r>
        <w:t xml:space="preserve">4.2 Payer Decision-Making Structure</w:t>
      </w:r>
    </w:p>
    <w:p>
      <w:pPr>
        <w:pStyle w:val="FirstParagraph"/>
      </w:pPr>
      <w:r>
        <w:t xml:space="preserve">Successful engagement with health insurance companies requires understanding the organizational structure and priorities of multiple stakeholder groups who participate in technology procurement decisions.</w:t>
      </w:r>
    </w:p>
    <w:p>
      <w:pPr>
        <w:pStyle w:val="BodyText"/>
      </w:pPr>
      <w:r>
        <w:rPr>
          <w:bCs/>
          <w:b/>
        </w:rPr>
        <w:t xml:space="preserve">Chief Medical Officers and Medical Directors</w:t>
      </w:r>
      <w:r>
        <w:t xml:space="preserve"> </w:t>
      </w:r>
      <w:r>
        <w:t xml:space="preserve">represent critical stakeholders for clinical reasoning engine platforms. These individuals are primarily concerned with clinical outcomes, patient safety, and quality metrics that affect the organization’s quality ratings and risk adjustment payments. They evaluate AI solutions based on clinical accuracy, integration with existing clinical workflows, and alignment with evidence-based medicine standards. Medical directors typically require robust validation studies and prefer solutions that demonstrate measurable improvements in clinical outcomes rather than purely operational efficiencies.</w:t>
      </w:r>
    </w:p>
    <w:p>
      <w:pPr>
        <w:pStyle w:val="BodyText"/>
      </w:pPr>
      <w:r>
        <w:rPr>
          <w:bCs/>
          <w:b/>
        </w:rPr>
        <w:t xml:space="preserve">Chief Innovation Officers and Innovation Teams</w:t>
      </w:r>
      <w:r>
        <w:t xml:space="preserve"> </w:t>
      </w:r>
      <w:r>
        <w:t xml:space="preserve">have emerged as key decision-makers following the 2019 hiring wave that brought roles like Chief Digital Officers, Chief Transformation Officers, and internal engineering teams into payer organizations. These roles were created in response to competitive pressure from digital-first healthtech startups and tech giants entering the healthcare space. Innovation teams are typically charged with exploring new technologies, evaluating pilot programs, and advancing digital transformation initiatives. They tend to be more open to emerging technologies but face pressure to demonstrate clear ROI and avoid the</w:t>
      </w:r>
      <w:r>
        <w:t xml:space="preserve"> </w:t>
      </w:r>
      <w:r>
        <w:t xml:space="preserve">“</w:t>
      </w:r>
      <w:r>
        <w:t xml:space="preserve">platform sprawl</w:t>
      </w:r>
      <w:r>
        <w:t xml:space="preserve">”</w:t>
      </w:r>
      <w:r>
        <w:t xml:space="preserve"> </w:t>
      </w:r>
      <w:r>
        <w:t xml:space="preserve">that resulted from earlier transformation efforts.</w:t>
      </w:r>
    </w:p>
    <w:p>
      <w:pPr>
        <w:pStyle w:val="BodyText"/>
      </w:pPr>
      <w:r>
        <w:rPr>
          <w:bCs/>
          <w:b/>
        </w:rPr>
        <w:t xml:space="preserve">Chief Financial Officers and Finance Teams</w:t>
      </w:r>
      <w:r>
        <w:t xml:space="preserve"> </w:t>
      </w:r>
      <w:r>
        <w:t xml:space="preserve">evaluate AI investments based on financial returns, total cost of ownership, and impact on medical loss ratios. They are particularly interested in solutions that reduce unnecessary healthcare utilization, improve care management efficiency, and demonstrate measurable cost savings. CFO engagement typically occurs after technical and clinical evaluation, but their approval is essential for budget allocation and contract finalization.</w:t>
      </w:r>
    </w:p>
    <w:p>
      <w:pPr>
        <w:pStyle w:val="BodyText"/>
      </w:pPr>
      <w:r>
        <w:rPr>
          <w:bCs/>
          <w:b/>
        </w:rPr>
        <w:t xml:space="preserve">Chief Information Officers and Technology Leaders</w:t>
      </w:r>
      <w:r>
        <w:t xml:space="preserve"> </w:t>
      </w:r>
      <w:r>
        <w:t xml:space="preserve">assess solutions based on technical integration requirements, security and compliance considerations, scalability, and alignment with existing technology roadmaps. They evaluate whether solutions can be deployed within existing infrastructure, meet stringent healthcare data protection requirements, and scale to meet organizational needs. For clinical reasoning engines, CIOs are particularly interested in integration with existing clinical decision support systems, electronic health record platforms, and care management tools.</w:t>
      </w:r>
    </w:p>
    <w:bookmarkEnd w:id="36"/>
    <w:bookmarkStart w:id="37" w:name="quantifying-value-for-payers"/>
    <w:p>
      <w:pPr>
        <w:pStyle w:val="Heading3"/>
      </w:pPr>
      <w:r>
        <w:t xml:space="preserve">4.3 Quantifying Value for Payers</w:t>
      </w:r>
    </w:p>
    <w:p>
      <w:pPr>
        <w:pStyle w:val="FirstParagraph"/>
      </w:pPr>
      <w:r>
        <w:t xml:space="preserve">Demonstrating clear return on investment is essential for payer engagement. Research provides specific metrics that can be leveraged in value propositions.</w:t>
      </w:r>
    </w:p>
    <w:p>
      <w:pPr>
        <w:pStyle w:val="BodyText"/>
      </w:pPr>
      <w:r>
        <w:rPr>
          <w:bCs/>
          <w:b/>
        </w:rPr>
        <w:t xml:space="preserve">Hospital Readmission Reduction</w:t>
      </w:r>
      <w:r>
        <w:t xml:space="preserve"> </w:t>
      </w:r>
      <w:r>
        <w:t xml:space="preserve">represents one of the largest cost centers for health insurance companies. Research demonstrates that AI-powered solutions can significantly reduce both initial hospitalizations and readmissions through predictive analytics, care coordination optimization, and early intervention capabilities. In one documented case, a health system prevented 200 patient readmissions, resulting in $5 million in cost savings. A landmark study at Zuckerberg San Francisco General Hospital demonstrated that AI and automation reduced heart failure readmission rates from 27.9% to 23.9%, with the organization retaining $7.2 million of at-risk funding between 2018 and 2023. The development cost was $1 million, resulting in an overall return on investment exceeding $7 for every $1 invested.</w:t>
      </w:r>
    </w:p>
    <w:p>
      <w:pPr>
        <w:pStyle w:val="BodyText"/>
      </w:pPr>
      <w:r>
        <w:rPr>
          <w:bCs/>
          <w:b/>
        </w:rPr>
        <w:t xml:space="preserve">Care Management Efficiency</w:t>
      </w:r>
      <w:r>
        <w:t xml:space="preserve"> </w:t>
      </w:r>
      <w:r>
        <w:t xml:space="preserve">generates substantial savings through improved allocation of clinical resources. A case study involving a large North American health insurance company demonstrated that AI automation reduced the time to identify high-risk pregnancies from 4-5 weeks to minutes. The organization achieved cost savings exceeding $11 million annually for a population of approximately 10,000 patients, with a 24% increase in accurate identification of low birth-weight pregnancies and avoidance of 44% of low birth-weight pregnancies through proactive intervention.</w:t>
      </w:r>
    </w:p>
    <w:p>
      <w:pPr>
        <w:pStyle w:val="BodyText"/>
      </w:pPr>
      <w:r>
        <w:rPr>
          <w:bCs/>
          <w:b/>
        </w:rPr>
        <w:t xml:space="preserve">Early Intervention and Preventive Care</w:t>
      </w:r>
      <w:r>
        <w:t xml:space="preserve"> </w:t>
      </w:r>
      <w:r>
        <w:t xml:space="preserve">generates the most significant cost savings by preventing expensive acute episodes. AI-powered predictive analytics can reduce hospital stays by 25% and decrease nursing facility discharges by 91%. For chronic disease management, AI can predict exacerbations and alert providers proactively, enabling intervention before minor infections become severe. This predictive capability transforms care management from reactive to proactive, with significant implications for both clinical outcomes and cost.</w:t>
      </w:r>
    </w:p>
    <w:bookmarkEnd w:id="37"/>
    <w:bookmarkStart w:id="38" w:name="payer-outreach-sequence"/>
    <w:p>
      <w:pPr>
        <w:pStyle w:val="Heading3"/>
      </w:pPr>
      <w:r>
        <w:t xml:space="preserve">4.4 Payer Outreach Sequence</w:t>
      </w:r>
    </w:p>
    <w:p>
      <w:pPr>
        <w:pStyle w:val="FirstParagraph"/>
      </w:pPr>
      <w:r>
        <w:t xml:space="preserve">Successful payer engagement requires a disciplined, multi-phase approach that builds relationships progressively while demonstrating value at each stage.</w:t>
      </w:r>
    </w:p>
    <w:p>
      <w:pPr>
        <w:pStyle w:val="BodyText"/>
      </w:pPr>
      <w:r>
        <w:rPr>
          <w:bCs/>
          <w:b/>
        </w:rPr>
        <w:t xml:space="preserve">Phase 1: Initial Outreach and Qualification (Days 1-30)</w:t>
      </w:r>
    </w:p>
    <w:p>
      <w:pPr>
        <w:pStyle w:val="BodyText"/>
      </w:pPr>
      <w:r>
        <w:t xml:space="preserve">The initial phase should focus on identifying appropriate contacts within target payer organizations and initiating relationship development. Key targets include innovation teams, medical directors, and technology leaders who have demonstrated interest in AI and clinical decision support solutions. Initial outreach should be concise, highlighting the unique value proposition while requesting a brief discovery meeting to understand the organization’s specific challenges and priorities.</w:t>
      </w:r>
    </w:p>
    <w:p>
      <w:pPr>
        <w:pStyle w:val="BodyText"/>
      </w:pPr>
      <w:r>
        <w:t xml:space="preserve">The recommended sequence for DFW market entry begins with Baylor Scott &amp; White Health Plan due to their integrated model and demonstrated commitment to innovation, followed by Blue Cross Blue Shield of Texas due to their market leadership and innovation investment, then UnitedHealthcare Texas due to their national resources and local presence, and Aetna due to their significant HMO market share and CVS Health resources.</w:t>
      </w:r>
    </w:p>
    <w:p>
      <w:pPr>
        <w:pStyle w:val="BodyText"/>
      </w:pPr>
      <w:r>
        <w:rPr>
          <w:bCs/>
          <w:b/>
        </w:rPr>
        <w:t xml:space="preserve">Phase 2: Value Proposition Development and Stakeholder Mapping (Days 31-60)</w:t>
      </w:r>
    </w:p>
    <w:p>
      <w:pPr>
        <w:pStyle w:val="BodyText"/>
      </w:pPr>
      <w:r>
        <w:t xml:space="preserve">This phase involves in-depth research into each target organization’s strategic priorities, technology initiatives, and decision-making processes. It should result in tailored value propositions for different stakeholder groups, identification of the complete buying committee, and development of a relationship map showing connections between key decision-makers.</w:t>
      </w:r>
    </w:p>
    <w:p>
      <w:pPr>
        <w:pStyle w:val="BodyText"/>
      </w:pPr>
      <w:r>
        <w:rPr>
          <w:bCs/>
          <w:b/>
        </w:rPr>
        <w:t xml:space="preserve">Phase 3: Pilot Program Design and Proposal (Days 61-120)</w:t>
      </w:r>
    </w:p>
    <w:p>
      <w:pPr>
        <w:pStyle w:val="BodyText"/>
      </w:pPr>
      <w:r>
        <w:t xml:space="preserve">This phase translates general interest into specific pilot program proposals. Proposals should be scoped to address high-impact, well-defined problems, include clear success metrics and timelines, and offer flexible engagement models that reduce payer risk. Pilot program proposals should be reviewed with multiple stakeholders including clinical leadership, technology teams, and finance to ensure alignment with organizational priorities.</w:t>
      </w:r>
    </w:p>
    <w:p>
      <w:pPr>
        <w:pStyle w:val="BodyText"/>
      </w:pPr>
      <w:r>
        <w:rPr>
          <w:bCs/>
          <w:b/>
        </w:rPr>
        <w:t xml:space="preserve">Phase 4: Pilot Implementation and Outcome Measurement (Days 121-240)</w:t>
      </w:r>
    </w:p>
    <w:p>
      <w:pPr>
        <w:pStyle w:val="BodyText"/>
      </w:pPr>
      <w:r>
        <w:t xml:space="preserve">This phase requires dedicated resources for deployment support, clinical workflow integration, and outcome tracking. Success during the pilot phase is essential for advancing to enterprise discussions, making this phase the highest-risk period in the engagement process. Regular stakeholder updates, rapid issue resolution, and proactive outcome communication are essential.</w:t>
      </w:r>
    </w:p>
    <w:p>
      <w:pPr>
        <w:pStyle w:val="BodyText"/>
      </w:pPr>
      <w:r>
        <w:rPr>
          <w:bCs/>
          <w:b/>
        </w:rPr>
        <w:t xml:space="preserve">Phase 5: Enterprise Expansion and Strategic Partnership Development (Days 241-365)</w:t>
      </w:r>
    </w:p>
    <w:p>
      <w:pPr>
        <w:pStyle w:val="BodyText"/>
      </w:pPr>
      <w:r>
        <w:t xml:space="preserve">This phase leverages pilot success to negotiate broader deployment agreements. This phase may include expanded scope across additional clinical areas, broader member populations, or multiple lines of business. Strategic partnership discussions may include deeper integration, co-development activities, or equity relationships.</w:t>
      </w:r>
    </w:p>
    <w:bookmarkEnd w:id="38"/>
    <w:bookmarkStart w:id="39" w:name="payer-proposal-structure"/>
    <w:p>
      <w:pPr>
        <w:pStyle w:val="Heading3"/>
      </w:pPr>
      <w:r>
        <w:t xml:space="preserve">4.5 Payer Proposal Structure</w:t>
      </w:r>
    </w:p>
    <w:p>
      <w:pPr>
        <w:pStyle w:val="FirstParagraph"/>
      </w:pPr>
      <w:r>
        <w:t xml:space="preserve">Successful payer partnership proposals should follow a structured format that addresses stakeholder concerns while demonstrating clear value.</w:t>
      </w:r>
    </w:p>
    <w:p>
      <w:pPr>
        <w:pStyle w:val="BodyText"/>
      </w:pPr>
      <w:r>
        <w:t xml:space="preserve">The executive summary should be limited to one page and focus on the key value proposition: a specific problem addressed, a quantifiable solution, and the expected outcome. The summary should be written for executive audiences who may not read the full proposal.</w:t>
      </w:r>
    </w:p>
    <w:p>
      <w:pPr>
        <w:pStyle w:val="BodyText"/>
      </w:pPr>
      <w:r>
        <w:t xml:space="preserve">The problem statement should clearly articulate the specific challenge the payer organization faces, with supporting data that demonstrates the scope and impact of the problem. The problem statement should be validated through research and, where possible, through conversations with payer stakeholders.</w:t>
      </w:r>
    </w:p>
    <w:p>
      <w:pPr>
        <w:pStyle w:val="BodyText"/>
      </w:pPr>
      <w:r>
        <w:t xml:space="preserve">The solution description should explain how the clinical reasoning engine addresses the identified problem, including technical approach, integration requirements, and implementation timeline. The description should emphasize aspects of the solution that differentiate it from alternatives.</w:t>
      </w:r>
    </w:p>
    <w:p>
      <w:pPr>
        <w:pStyle w:val="BodyText"/>
      </w:pPr>
      <w:r>
        <w:t xml:space="preserve">The business case should present the financial impact of the solution, including implementation costs, operational savings, outcome improvements, and ROI calculation. The business case should address multiple scenarios and clearly state assumptions.</w:t>
      </w:r>
    </w:p>
    <w:p>
      <w:pPr>
        <w:pStyle w:val="BodyText"/>
      </w:pPr>
      <w:r>
        <w:t xml:space="preserve">The implementation plan should detail the deployment approach, timeline, resource requirements, and success metrics. The plan should demonstrate understanding of payer operational constraints and propose realistic timelines.</w:t>
      </w:r>
    </w:p>
    <w:p>
      <w:r>
        <w:pict>
          <v:rect style="width:0;height:1.5pt" o:hralign="center" o:hrstd="t" o:hr="t"/>
        </w:pict>
      </w:r>
    </w:p>
    <w:bookmarkEnd w:id="39"/>
    <w:bookmarkEnd w:id="40"/>
    <w:bookmarkStart w:id="45" w:name="implementation-roadmap-and-action-items"/>
    <w:p>
      <w:pPr>
        <w:pStyle w:val="Heading2"/>
      </w:pPr>
      <w:r>
        <w:t xml:space="preserve">5. Implementation Roadmap and Action Items</w:t>
      </w:r>
    </w:p>
    <w:bookmarkStart w:id="41" w:name="immediate-priorities-days-1-90"/>
    <w:p>
      <w:pPr>
        <w:pStyle w:val="Heading3"/>
      </w:pPr>
      <w:r>
        <w:t xml:space="preserve">5.1 Immediate Priorities: Days 1-90</w:t>
      </w:r>
    </w:p>
    <w:p>
      <w:pPr>
        <w:pStyle w:val="FirstParagraph"/>
      </w:pPr>
      <w:r>
        <w:t xml:space="preserve">The first 90 days should focus on establishing foundational relationships and preparing for pilot discussions with clinics, investors, and payers.</w:t>
      </w:r>
    </w:p>
    <w:p>
      <w:pPr>
        <w:pStyle w:val="BodyText"/>
      </w:pPr>
      <w:r>
        <w:rPr>
          <w:bCs/>
          <w:b/>
        </w:rPr>
        <w:t xml:space="preserve">Clinic Outreach Priorities</w:t>
      </w:r>
      <w:r>
        <w:t xml:space="preserve">: Complete stakeholder mapping for top 10 target clinic organizations, initiate LinkedIn connection and engagement campaigns with identified physicians and practice managers, develop a prioritized clinic targeting matrix based on practice size, technological sophistication, and decision-making complexity, create pilot program template with flexible scope and pricing options for clinics, and draft partnership proposal templates for different engagement models.</w:t>
      </w:r>
    </w:p>
    <w:p>
      <w:pPr>
        <w:pStyle w:val="BodyText"/>
      </w:pPr>
      <w:r>
        <w:rPr>
          <w:bCs/>
          <w:b/>
        </w:rPr>
        <w:t xml:space="preserve">Investor Engagement Priorities</w:t>
      </w:r>
      <w:r>
        <w:t xml:space="preserve">: Research and verify contact information for top 20 target investors (10 DFW, 10 national), develop investor pitch deck aligned with each firm’s investment thesis, initiate outreach to 5 highest-priority investors with personalized, research-based communications, schedule presentations to local angel groups including North Texas Angel Network and Cowtown Angels, and prepare application materials for Health Wildcatters accelerator program.</w:t>
      </w:r>
    </w:p>
    <w:p>
      <w:pPr>
        <w:pStyle w:val="BodyText"/>
      </w:pPr>
      <w:r>
        <w:rPr>
          <w:bCs/>
          <w:b/>
        </w:rPr>
        <w:t xml:space="preserve">Payer Strategy Priorities</w:t>
      </w:r>
      <w:r>
        <w:t xml:space="preserve">: Complete stakeholder mapping for top 5 DFW payer organizations, develop stakeholder-specific messaging framework for CMOs, CIOs, CFOs, and innovation leaders, identify key decision-makers and develop initial contact strategy, research payer technology initiatives and innovation priorities, and draft initial partnership proposal templates for payer engagements.</w:t>
      </w:r>
    </w:p>
    <w:bookmarkEnd w:id="41"/>
    <w:bookmarkStart w:id="42" w:name="short-term-goals-days-91-180"/>
    <w:p>
      <w:pPr>
        <w:pStyle w:val="Heading3"/>
      </w:pPr>
      <w:r>
        <w:t xml:space="preserve">5.2 Short-Term Goals: Days 91-180</w:t>
      </w:r>
    </w:p>
    <w:p>
      <w:pPr>
        <w:pStyle w:val="FirstParagraph"/>
      </w:pPr>
      <w:r>
        <w:t xml:space="preserve">The 90-180 day period should focus on advancing relationships to pilot discussions and initiating initial pilot programs where possible.</w:t>
      </w:r>
    </w:p>
    <w:p>
      <w:pPr>
        <w:pStyle w:val="BodyText"/>
      </w:pPr>
      <w:r>
        <w:rPr>
          <w:bCs/>
          <w:b/>
        </w:rPr>
        <w:t xml:space="preserve">Clinic Outreach Goals</w:t>
      </w:r>
      <w:r>
        <w:t xml:space="preserve">: Finalize pilot program proposals for 3-5 target clinics, secure at least 1-2 clinic pilot program agreements, develop case study materials from initial implementations, expand stakeholder network through conference participation and referral development, and refine value propositions based on clinic feedback.</w:t>
      </w:r>
    </w:p>
    <w:p>
      <w:pPr>
        <w:pStyle w:val="BodyText"/>
      </w:pPr>
      <w:r>
        <w:rPr>
          <w:bCs/>
          <w:b/>
        </w:rPr>
        <w:t xml:space="preserve">Investor Engagement Goals</w:t>
      </w:r>
      <w:r>
        <w:t xml:space="preserve">: Complete pitch presentations to at least 10 target investors, secure term sheet or investment commitment from at least one investor, leverage investor network for introductions to potential customers and partners, refine pitch deck and messaging based on investor feedback, and advance Health Wildcatters application or similar accelerator participation.</w:t>
      </w:r>
    </w:p>
    <w:p>
      <w:pPr>
        <w:pStyle w:val="BodyText"/>
      </w:pPr>
      <w:r>
        <w:rPr>
          <w:bCs/>
          <w:b/>
        </w:rPr>
        <w:t xml:space="preserve">Payer Strategy Goals</w:t>
      </w:r>
      <w:r>
        <w:t xml:space="preserve">: Finalize pilot program proposals for 2-3 target payers, secure at least 1 pilot program agreement with a payer organization, develop case study materials from payer pilot implementations, expand payer stakeholder network through conference participation and industry events, and refine payer value propositions based on feedback.</w:t>
      </w:r>
    </w:p>
    <w:bookmarkEnd w:id="42"/>
    <w:bookmarkStart w:id="43" w:name="medium-term-objectives-days-181-365"/>
    <w:p>
      <w:pPr>
        <w:pStyle w:val="Heading3"/>
      </w:pPr>
      <w:r>
        <w:t xml:space="preserve">5.3 Medium-Term Objectives: Days 181-365</w:t>
      </w:r>
    </w:p>
    <w:p>
      <w:pPr>
        <w:pStyle w:val="FirstParagraph"/>
      </w:pPr>
      <w:r>
        <w:t xml:space="preserve">The 180-365 day period should focus on pilot program execution, outcome measurement, and advancement from pilot to production deployments.</w:t>
      </w:r>
    </w:p>
    <w:p>
      <w:pPr>
        <w:pStyle w:val="BodyText"/>
      </w:pPr>
      <w:r>
        <w:rPr>
          <w:bCs/>
          <w:b/>
        </w:rPr>
        <w:t xml:space="preserve">Clinic Outreach Objectives</w:t>
      </w:r>
      <w:r>
        <w:t xml:space="preserve">: Execute clinic pilot programs with clear success metrics and documentation, publish case studies and outcome data from clinic implementations, advance at least one clinic pilot to production deployment, develop enterprise partnership proposals for clinic success organizations, and expand clinic outreach to additional target markets beyond DFW.</w:t>
      </w:r>
    </w:p>
    <w:p>
      <w:pPr>
        <w:pStyle w:val="BodyText"/>
      </w:pPr>
      <w:r>
        <w:rPr>
          <w:bCs/>
          <w:b/>
        </w:rPr>
        <w:t xml:space="preserve">Investor Engagement Objectives</w:t>
      </w:r>
      <w:r>
        <w:t xml:space="preserve">: Complete additional funding round to support scale, leverage investor relationships for strategic partnerships and customer introductions, build advisory board with healthcare industry expertise, develop investor relations communication program, and prepare materials for subsequent funding rounds.</w:t>
      </w:r>
    </w:p>
    <w:p>
      <w:pPr>
        <w:pStyle w:val="BodyText"/>
      </w:pPr>
      <w:r>
        <w:rPr>
          <w:bCs/>
          <w:b/>
        </w:rPr>
        <w:t xml:space="preserve">Payer Strategy Objectives</w:t>
      </w:r>
      <w:r>
        <w:t xml:space="preserve">: Execute payer pilot programs with clear success metrics and documentation, publish case studies and outcome data from payer implementations, advance at least one payer pilot to production deployment, develop enterprise partnership proposals for payer success organizations, and expand payer outreach to additional payer organizations beyond initial DFW targets.</w:t>
      </w:r>
    </w:p>
    <w:bookmarkEnd w:id="43"/>
    <w:bookmarkStart w:id="44" w:name="success-metrics-and-evaluation-criteria"/>
    <w:p>
      <w:pPr>
        <w:pStyle w:val="Heading3"/>
      </w:pPr>
      <w:r>
        <w:t xml:space="preserve">5.4 Success Metrics and Evaluation Criteria</w:t>
      </w:r>
    </w:p>
    <w:p>
      <w:pPr>
        <w:pStyle w:val="FirstParagraph"/>
      </w:pPr>
      <w:r>
        <w:t xml:space="preserve">Progress should be evaluated against defined success metrics at each phase.</w:t>
      </w:r>
    </w:p>
    <w:p>
      <w:pPr>
        <w:pStyle w:val="BodyText"/>
      </w:pPr>
      <w:r>
        <w:rPr>
          <w:bCs/>
          <w:b/>
        </w:rPr>
        <w:t xml:space="preserve">Clinic Outreach Metrics</w:t>
      </w:r>
      <w:r>
        <w:t xml:space="preserve">: Number of clinic stakeholder conversations completed, number of clinic pilot agreements secured, clinic pilot implementation timeline adherence, clinic pilot outcome achievement against defined metrics, clinic stakeholder satisfaction with implementation experience, number of clinic pilot-to-production transitions, and case study publication and media coverage from clinic implementations.</w:t>
      </w:r>
    </w:p>
    <w:p>
      <w:pPr>
        <w:pStyle w:val="BodyText"/>
      </w:pPr>
      <w:r>
        <w:rPr>
          <w:bCs/>
          <w:b/>
        </w:rPr>
        <w:t xml:space="preserve">Investor Engagement Metrics</w:t>
      </w:r>
      <w:r>
        <w:t xml:space="preserve">: Number of investor conversations completed, number of investor meetings and presentations, investor feedback and engagement quality, investment commitments secured, investor network expansion, accelerator participation and outcomes, and subsequent funding round progress.</w:t>
      </w:r>
    </w:p>
    <w:p>
      <w:pPr>
        <w:pStyle w:val="BodyText"/>
      </w:pPr>
      <w:r>
        <w:rPr>
          <w:bCs/>
          <w:b/>
        </w:rPr>
        <w:t xml:space="preserve">Payer Strategy Metrics</w:t>
      </w:r>
      <w:r>
        <w:t xml:space="preserve">: Number of payer stakeholder conversations completed, number of payer pilot agreements secured, payer pilot implementation timeline adherence, payer pilot outcome achievement against defined metrics, payer stakeholder satisfaction with implementation experience, number of payer pilot-to-production transitions, and case study publication and media coverage from payer implementations.</w:t>
      </w:r>
    </w:p>
    <w:p>
      <w:r>
        <w:pict>
          <v:rect style="width:0;height:1.5pt" o:hralign="center" o:hrstd="t" o:hr="t"/>
        </w:pict>
      </w:r>
    </w:p>
    <w:bookmarkEnd w:id="44"/>
    <w:bookmarkEnd w:id="45"/>
    <w:bookmarkStart w:id="49" w:name="Xd994f34086b239d7ceebe892ebb6fd93a5ea9c9"/>
    <w:p>
      <w:pPr>
        <w:pStyle w:val="Heading2"/>
      </w:pPr>
      <w:r>
        <w:t xml:space="preserve">6. Risk Assessment and Mitigation Strategies</w:t>
      </w:r>
    </w:p>
    <w:bookmarkStart w:id="46" w:name="clinic-outreach-risks"/>
    <w:p>
      <w:pPr>
        <w:pStyle w:val="Heading3"/>
      </w:pPr>
      <w:r>
        <w:t xml:space="preserve">6.1 Clinic Outreach Risks</w:t>
      </w:r>
    </w:p>
    <w:p>
      <w:pPr>
        <w:pStyle w:val="FirstParagraph"/>
      </w:pPr>
      <w:r>
        <w:rPr>
          <w:bCs/>
          <w:b/>
        </w:rPr>
        <w:t xml:space="preserve">Risk: Extended Sales Cycles at Independent Practices</w:t>
      </w:r>
    </w:p>
    <w:p>
      <w:pPr>
        <w:pStyle w:val="BodyText"/>
      </w:pPr>
      <w:r>
        <w:t xml:space="preserve">Independent clinics often have streamlined decision-making but limited resources for technology evaluation and implementation. The risk is that promising conversations fail to progress to pilot programs due to competing priorities or decision-maker availability.</w:t>
      </w:r>
    </w:p>
    <w:p>
      <w:pPr>
        <w:pStyle w:val="BodyText"/>
      </w:pPr>
      <w:r>
        <w:rPr>
          <w:bCs/>
          <w:b/>
        </w:rPr>
        <w:t xml:space="preserve">Mitigation</w:t>
      </w:r>
      <w:r>
        <w:t xml:space="preserve">: Develop clear, concise value propositions that can be communicated in brief interactions. Offer flexible engagement models including month-to-month pilots that reduce commitment barriers. Provide implementation support that minimizes burden on practice staff. Focus initial outreach on practices with demonstrated innovation interest and sufficient resources.</w:t>
      </w:r>
    </w:p>
    <w:p>
      <w:pPr>
        <w:pStyle w:val="BodyText"/>
      </w:pPr>
      <w:r>
        <w:rPr>
          <w:bCs/>
          <w:b/>
        </w:rPr>
        <w:t xml:space="preserve">Risk: Technical Integration Complexity</w:t>
      </w:r>
    </w:p>
    <w:p>
      <w:pPr>
        <w:pStyle w:val="BodyText"/>
      </w:pPr>
      <w:r>
        <w:t xml:space="preserve">Independent practices often have limited IT resources and may use diverse electronic health record systems, creating integration challenges.</w:t>
      </w:r>
    </w:p>
    <w:p>
      <w:pPr>
        <w:pStyle w:val="BodyText"/>
      </w:pPr>
      <w:r>
        <w:rPr>
          <w:bCs/>
          <w:b/>
        </w:rPr>
        <w:t xml:space="preserve">Mitigation</w:t>
      </w:r>
      <w:r>
        <w:t xml:space="preserve">: Prioritize practices with EHR systems that support FHIR integration standards. Develop pre-built integrations for common EHR systems used in target practices. Provide clear documentation of integration requirements and support processes. Offer hybrid deployment models that can operate with or without deep EHR integration.</w:t>
      </w:r>
    </w:p>
    <w:bookmarkEnd w:id="46"/>
    <w:bookmarkStart w:id="47" w:name="investor-engagement-risks"/>
    <w:p>
      <w:pPr>
        <w:pStyle w:val="Heading3"/>
      </w:pPr>
      <w:r>
        <w:t xml:space="preserve">6.2 Investor Engagement Risks</w:t>
      </w:r>
    </w:p>
    <w:p>
      <w:pPr>
        <w:pStyle w:val="FirstParagraph"/>
      </w:pPr>
      <w:r>
        <w:rPr>
          <w:bCs/>
          <w:b/>
        </w:rPr>
        <w:t xml:space="preserve">Risk: Market Timing Concerns</w:t>
      </w:r>
    </w:p>
    <w:p>
      <w:pPr>
        <w:pStyle w:val="BodyText"/>
      </w:pPr>
      <w:r>
        <w:t xml:space="preserve">Healthcare AI investment may fluctuate based on broader market conditions, potentially affecting funding availability and valuation terms.</w:t>
      </w:r>
    </w:p>
    <w:p>
      <w:pPr>
        <w:pStyle w:val="BodyText"/>
      </w:pPr>
      <w:r>
        <w:rPr>
          <w:bCs/>
          <w:b/>
        </w:rPr>
        <w:t xml:space="preserve">Mitigation</w:t>
      </w:r>
      <w:r>
        <w:t xml:space="preserve">: Maintain relationships with multiple investors across stages and geographies. Develop multiple funding scenarios ranging from bootstrap to venture scale. Emphasize revenue generation and path to profitability in messaging. Build evidence of customer traction and market validation that reduces investor risk perception.</w:t>
      </w:r>
    </w:p>
    <w:p>
      <w:pPr>
        <w:pStyle w:val="BodyText"/>
      </w:pPr>
      <w:r>
        <w:rPr>
          <w:bCs/>
          <w:b/>
        </w:rPr>
        <w:t xml:space="preserve">Risk: Valuation Misalignment</w:t>
      </w:r>
    </w:p>
    <w:p>
      <w:pPr>
        <w:pStyle w:val="BodyText"/>
      </w:pPr>
      <w:r>
        <w:t xml:space="preserve">Early-stage companies may have difficulty reconciling founder expectations with investor valuations, potentially delaying or derailing funding rounds.</w:t>
      </w:r>
    </w:p>
    <w:p>
      <w:pPr>
        <w:pStyle w:val="BodyText"/>
      </w:pPr>
      <w:r>
        <w:rPr>
          <w:bCs/>
          <w:b/>
        </w:rPr>
        <w:t xml:space="preserve">Mitigation</w:t>
      </w:r>
      <w:r>
        <w:t xml:space="preserve">: Research comparable company valuations and recent funding terms. Develop clear financial projections with reasonable assumptions. Consider non-dilutive funding sources that preserve equity. Maintain flexibility on valuation while defending company fundamentals.</w:t>
      </w:r>
    </w:p>
    <w:bookmarkEnd w:id="47"/>
    <w:bookmarkStart w:id="48" w:name="payer-engagement-risks"/>
    <w:p>
      <w:pPr>
        <w:pStyle w:val="Heading3"/>
      </w:pPr>
      <w:r>
        <w:t xml:space="preserve">6.3 Payer Engagement Risks</w:t>
      </w:r>
    </w:p>
    <w:p>
      <w:pPr>
        <w:pStyle w:val="FirstParagraph"/>
      </w:pPr>
      <w:r>
        <w:rPr>
          <w:bCs/>
          <w:b/>
        </w:rPr>
        <w:t xml:space="preserve">Risk: Extended Procurement Cycles</w:t>
      </w:r>
    </w:p>
    <w:p>
      <w:pPr>
        <w:pStyle w:val="BodyText"/>
      </w:pPr>
      <w:r>
        <w:t xml:space="preserve">Payer procurement cycles average 11.3 months, significantly longer than other healthcare organization types. The risk is that extended timelines strain company resources and delay revenue realization.</w:t>
      </w:r>
    </w:p>
    <w:p>
      <w:pPr>
        <w:pStyle w:val="BodyText"/>
      </w:pPr>
      <w:r>
        <w:rPr>
          <w:bCs/>
          <w:b/>
        </w:rPr>
        <w:t xml:space="preserve">Mitigation</w:t>
      </w:r>
      <w:r>
        <w:t xml:space="preserve">: Develop multi-phase engagement models that generate revenue and evidence at each stage. Build relationships with multiple stakeholders to reduce dependency on individual decision-makers. Maintain pipeline diversification across multiple payer organizations. Secure sufficient runway to fund extended sales cycles.</w:t>
      </w:r>
    </w:p>
    <w:p>
      <w:pPr>
        <w:pStyle w:val="BodyText"/>
      </w:pPr>
      <w:r>
        <w:rPr>
          <w:bCs/>
          <w:b/>
        </w:rPr>
        <w:t xml:space="preserve">Risk: Regulatory and Compliance Complexity</w:t>
      </w:r>
    </w:p>
    <w:p>
      <w:pPr>
        <w:pStyle w:val="BodyText"/>
      </w:pPr>
      <w:r>
        <w:t xml:space="preserve">Payer organizations operate under intense regulatory scrutiny, and new technology must meet stringent compliance requirements.</w:t>
      </w:r>
    </w:p>
    <w:p>
      <w:pPr>
        <w:pStyle w:val="BodyText"/>
      </w:pPr>
      <w:r>
        <w:rPr>
          <w:bCs/>
          <w:b/>
        </w:rPr>
        <w:t xml:space="preserve">Mitigation</w:t>
      </w:r>
      <w:r>
        <w:t xml:space="preserve">: Invest in security certifications and compliance documentation early. Engage legal counsel with healthcare regulatory expertise. Develop compliance documentation package for use in payer evaluations. Consider partnerships with established healthcare technology companies that have existing payer relationships and compliance infrastructure.</w:t>
      </w:r>
    </w:p>
    <w:p>
      <w:r>
        <w:pict>
          <v:rect style="width:0;height:1.5pt" o:hralign="center" o:hrstd="t" o:hr="t"/>
        </w:pict>
      </w:r>
    </w:p>
    <w:bookmarkEnd w:id="48"/>
    <w:bookmarkEnd w:id="49"/>
    <w:bookmarkStart w:id="50" w:name="conclusion"/>
    <w:p>
      <w:pPr>
        <w:pStyle w:val="Heading2"/>
      </w:pPr>
      <w:r>
        <w:t xml:space="preserve">7. Conclusion</w:t>
      </w:r>
    </w:p>
    <w:p>
      <w:pPr>
        <w:pStyle w:val="FirstParagraph"/>
      </w:pPr>
      <w:r>
        <w:t xml:space="preserve">ArdiA Health Labs enters the healthcare AI market with a differentiated value proposition that addresses fundamental limitations of existing clinical decision support tools. By focusing on</w:t>
      </w:r>
      <w:r>
        <w:t xml:space="preserve"> </w:t>
      </w:r>
      <w:r>
        <w:t xml:space="preserve">“</w:t>
      </w:r>
      <w:r>
        <w:t xml:space="preserve">reasoning rather than alerting</w:t>
      </w:r>
      <w:r>
        <w:t xml:space="preserve">”</w:t>
      </w:r>
      <w:r>
        <w:t xml:space="preserve"> </w:t>
      </w:r>
      <w:r>
        <w:t xml:space="preserve">and targeting chronic disease management for conditions including asthma, COPD, and kidney disease, ArdiA positions itself in a segment with substantial unmet need and demonstrated return on investment.</w:t>
      </w:r>
    </w:p>
    <w:p>
      <w:pPr>
        <w:pStyle w:val="BodyText"/>
      </w:pPr>
      <w:r>
        <w:t xml:space="preserve">The Dallas-Fort Worth metropolitan area provides an attractive starting point for market development, with a competitive healthcare ecosystem, concentration of major payers, and growing healthcare innovation infrastructure. The research identifies 15 independent clinics specializing in target conditions, over 50 active healthcare AI investors across regional and national markets, and a structured approach to payer engagement that leverages documented ROI from comparable implementations.</w:t>
      </w:r>
    </w:p>
    <w:p>
      <w:pPr>
        <w:pStyle w:val="BodyText"/>
      </w:pPr>
      <w:r>
        <w:t xml:space="preserve">Success requires disciplined execution across multiple workstreams, with clear priorities at each phase. The recommended approach begins with clinic partnerships that can generate early evidence and case studies, progresses to investor relationships that provide capital for scale, and culminates in payer partnerships that represent the largest market opportunity. Throughout, maintaining consistent messaging about ArdiA’s unique value proposition while adapting to stakeholder-specific priorities will be essential for building the relationships and evidence base necessary for sustainable growth.</w:t>
      </w:r>
    </w:p>
    <w:p>
      <w:pPr>
        <w:pStyle w:val="BodyText"/>
      </w:pPr>
      <w:r>
        <w:t xml:space="preserve">The healthcare AI market continues to evolve rapidly, with spending expected to grow at a compound annual rate of 47.6% through 2032. Organizations that establish market position now—building evidence, relationships, and reputation—will be best positioned to capture the substantial opportunity ahead. For ArdiA Health Labs, the path to market leadership runs through the systematic execution of the strategies outlined in this guide.</w:t>
      </w:r>
    </w:p>
    <w:p>
      <w:r>
        <w:pict>
          <v:rect style="width:0;height:1.5pt" o:hralign="center" o:hrstd="t" o:hr="t"/>
        </w:pict>
      </w:r>
    </w:p>
    <w:bookmarkEnd w:id="50"/>
    <w:bookmarkStart w:id="89" w:name="sources"/>
    <w:p>
      <w:pPr>
        <w:pStyle w:val="Heading2"/>
      </w:pPr>
      <w:r>
        <w:t xml:space="preserve">Sources</w:t>
      </w:r>
    </w:p>
    <w:p>
      <w:pPr>
        <w:pStyle w:val="FirstParagraph"/>
      </w:pPr>
      <w:r>
        <w:t xml:space="preserve">[1]</w:t>
      </w:r>
      <w:r>
        <w:t xml:space="preserve"> </w:t>
      </w:r>
      <w:hyperlink r:id="rId51">
        <w:r>
          <w:rPr>
            <w:rStyle w:val="Hyperlink"/>
          </w:rPr>
          <w:t xml:space="preserve">Forbes - AI Adoption In Healthcare Is Surging</w:t>
        </w:r>
      </w:hyperlink>
      <w:r>
        <w:t xml:space="preserve"> </w:t>
      </w:r>
      <w:r>
        <w:t xml:space="preserve">- High Reliability - Established business publication with cited Menlo Ventures research data</w:t>
      </w:r>
    </w:p>
    <w:p>
      <w:pPr>
        <w:pStyle w:val="BodyText"/>
      </w:pPr>
      <w:r>
        <w:t xml:space="preserve">[2]</w:t>
      </w:r>
      <w:r>
        <w:t xml:space="preserve"> </w:t>
      </w:r>
      <w:hyperlink r:id="rId52">
        <w:r>
          <w:rPr>
            <w:rStyle w:val="Hyperlink"/>
          </w:rPr>
          <w:t xml:space="preserve">Menlo Ventures - 2025: The State of AI in Healthcare</w:t>
        </w:r>
      </w:hyperlink>
      <w:r>
        <w:t xml:space="preserve"> </w:t>
      </w:r>
      <w:r>
        <w:t xml:space="preserve">- High Reliability - Venture capital firm with extensive healthcare AI investment portfolio and proprietary research</w:t>
      </w:r>
    </w:p>
    <w:p>
      <w:pPr>
        <w:pStyle w:val="BodyText"/>
      </w:pPr>
      <w:r>
        <w:t xml:space="preserve">[3]</w:t>
      </w:r>
      <w:r>
        <w:t xml:space="preserve"> </w:t>
      </w:r>
      <w:hyperlink r:id="rId53">
        <w:r>
          <w:rPr>
            <w:rStyle w:val="Hyperlink"/>
          </w:rPr>
          <w:t xml:space="preserve">Clearstep Health - AI Reduces Hospitalizations and Readmissions</w:t>
        </w:r>
      </w:hyperlink>
      <w:r>
        <w:t xml:space="preserve"> </w:t>
      </w:r>
      <w:r>
        <w:t xml:space="preserve">- Medium Reliability - Healthcare technology company with documented case studies and industry research citations</w:t>
      </w:r>
    </w:p>
    <w:p>
      <w:pPr>
        <w:pStyle w:val="BodyText"/>
      </w:pPr>
      <w:r>
        <w:t xml:space="preserve">[4]</w:t>
      </w:r>
      <w:r>
        <w:t xml:space="preserve"> </w:t>
      </w:r>
      <w:hyperlink r:id="rId54">
        <w:r>
          <w:rPr>
            <w:rStyle w:val="Hyperlink"/>
          </w:rPr>
          <w:t xml:space="preserve">ZS Associates - Insurance Partnerships with Startups</w:t>
        </w:r>
      </w:hyperlink>
      <w:r>
        <w:t xml:space="preserve"> </w:t>
      </w:r>
      <w:r>
        <w:t xml:space="preserve">- High Reliability - Top-tier management consulting firm with extensive insurance industry experience</w:t>
      </w:r>
    </w:p>
    <w:p>
      <w:pPr>
        <w:pStyle w:val="BodyText"/>
      </w:pPr>
      <w:r>
        <w:t xml:space="preserve">[5]</w:t>
      </w:r>
      <w:r>
        <w:t xml:space="preserve"> </w:t>
      </w:r>
      <w:hyperlink r:id="rId55">
        <w:r>
          <w:rPr>
            <w:rStyle w:val="Hyperlink"/>
          </w:rPr>
          <w:t xml:space="preserve">StretchDollar - Best Health Insurance in Dallas Texas</w:t>
        </w:r>
      </w:hyperlink>
      <w:r>
        <w:t xml:space="preserve"> </w:t>
      </w:r>
      <w:r>
        <w:t xml:space="preserve">- Medium Reliability - Consumer finance research platform with current market data</w:t>
      </w:r>
    </w:p>
    <w:p>
      <w:pPr>
        <w:pStyle w:val="BodyText"/>
      </w:pPr>
      <w:r>
        <w:t xml:space="preserve">[6]</w:t>
      </w:r>
      <w:r>
        <w:t xml:space="preserve"> </w:t>
      </w:r>
      <w:hyperlink r:id="rId56">
        <w:r>
          <w:rPr>
            <w:rStyle w:val="Hyperlink"/>
          </w:rPr>
          <w:t xml:space="preserve">Definitive Healthcare - Top Healthcare Payors by Incurred Claims</w:t>
        </w:r>
      </w:hyperlink>
      <w:r>
        <w:t xml:space="preserve"> </w:t>
      </w:r>
      <w:r>
        <w:t xml:space="preserve">- High Reliability - Healthcare data analytics company with CMS-sourced financial data</w:t>
      </w:r>
    </w:p>
    <w:p>
      <w:pPr>
        <w:pStyle w:val="BodyText"/>
      </w:pPr>
      <w:r>
        <w:t xml:space="preserve">[7]</w:t>
      </w:r>
      <w:r>
        <w:t xml:space="preserve"> </w:t>
      </w:r>
      <w:hyperlink r:id="rId57">
        <w:r>
          <w:rPr>
            <w:rStyle w:val="Hyperlink"/>
          </w:rPr>
          <w:t xml:space="preserve">D Magazine - DFW Health Insurance Market Analysis</w:t>
        </w:r>
      </w:hyperlink>
      <w:r>
        <w:t xml:space="preserve"> </w:t>
      </w:r>
      <w:r>
        <w:t xml:space="preserve">- High Reliability - Regional business publication with AMA-sourced market data</w:t>
      </w:r>
    </w:p>
    <w:p>
      <w:pPr>
        <w:pStyle w:val="BodyText"/>
      </w:pPr>
      <w:r>
        <w:t xml:space="preserve">[8]</w:t>
      </w:r>
      <w:r>
        <w:t xml:space="preserve"> </w:t>
      </w:r>
      <w:hyperlink r:id="rId58">
        <w:r>
          <w:rPr>
            <w:rStyle w:val="Hyperlink"/>
          </w:rPr>
          <w:t xml:space="preserve">American Journal of Managed Care - Reducing Readmissions Through AI</w:t>
        </w:r>
      </w:hyperlink>
      <w:r>
        <w:t xml:space="preserve"> </w:t>
      </w:r>
      <w:r>
        <w:t xml:space="preserve">- High Reliability - Peer-reviewed healthcare journal with published research methodology</w:t>
      </w:r>
    </w:p>
    <w:p>
      <w:pPr>
        <w:pStyle w:val="BodyText"/>
      </w:pPr>
      <w:r>
        <w:t xml:space="preserve">[9]</w:t>
      </w:r>
      <w:r>
        <w:t xml:space="preserve"> </w:t>
      </w:r>
      <w:hyperlink r:id="rId59">
        <w:r>
          <w:rPr>
            <w:rStyle w:val="Hyperlink"/>
          </w:rPr>
          <w:t xml:space="preserve">CGI - Tech Transformation in Healthcare Payers</w:t>
        </w:r>
      </w:hyperlink>
      <w:r>
        <w:t xml:space="preserve"> </w:t>
      </w:r>
      <w:r>
        <w:t xml:space="preserve">- High Reliability - Global IT consulting firm with healthcare payer implementation experience</w:t>
      </w:r>
    </w:p>
    <w:p>
      <w:pPr>
        <w:pStyle w:val="BodyText"/>
      </w:pPr>
      <w:r>
        <w:t xml:space="preserve">[10]</w:t>
      </w:r>
      <w:r>
        <w:t xml:space="preserve"> </w:t>
      </w:r>
      <w:hyperlink r:id="rId60">
        <w:r>
          <w:rPr>
            <w:rStyle w:val="Hyperlink"/>
          </w:rPr>
          <w:t xml:space="preserve">UiPath - Health Insurance Company AI Case Study</w:t>
        </w:r>
      </w:hyperlink>
      <w:r>
        <w:t xml:space="preserve"> </w:t>
      </w:r>
      <w:r>
        <w:t xml:space="preserve">- High Reliability - Enterprise automation company with documented customer outcomes</w:t>
      </w:r>
    </w:p>
    <w:p>
      <w:pPr>
        <w:pStyle w:val="BodyText"/>
      </w:pPr>
      <w:r>
        <w:t xml:space="preserve">[11]</w:t>
      </w:r>
      <w:r>
        <w:t xml:space="preserve"> </w:t>
      </w:r>
      <w:hyperlink r:id="rId61">
        <w:r>
          <w:rPr>
            <w:rStyle w:val="Hyperlink"/>
          </w:rPr>
          <w:t xml:space="preserve">Lone Star Pulmonary and Sleep Specialists</w:t>
        </w:r>
      </w:hyperlink>
      <w:r>
        <w:t xml:space="preserve"> </w:t>
      </w:r>
      <w:r>
        <w:t xml:space="preserve">- High Reliability - Primary source practice website with comprehensive service and contact information</w:t>
      </w:r>
    </w:p>
    <w:p>
      <w:pPr>
        <w:pStyle w:val="BodyText"/>
      </w:pPr>
      <w:r>
        <w:t xml:space="preserve">[12]</w:t>
      </w:r>
      <w:r>
        <w:t xml:space="preserve"> </w:t>
      </w:r>
      <w:hyperlink r:id="rId62">
        <w:r>
          <w:rPr>
            <w:rStyle w:val="Hyperlink"/>
          </w:rPr>
          <w:t xml:space="preserve">Denton Lung Doctor - Dr. Sridhar Iyer</w:t>
        </w:r>
      </w:hyperlink>
      <w:r>
        <w:t xml:space="preserve"> </w:t>
      </w:r>
      <w:r>
        <w:t xml:space="preserve">- High Reliability - Primary source practice website with ownership and contact details</w:t>
      </w:r>
    </w:p>
    <w:p>
      <w:pPr>
        <w:pStyle w:val="BodyText"/>
      </w:pPr>
      <w:r>
        <w:t xml:space="preserve">[13]</w:t>
      </w:r>
      <w:r>
        <w:t xml:space="preserve"> </w:t>
      </w:r>
      <w:hyperlink r:id="rId63">
        <w:r>
          <w:rPr>
            <w:rStyle w:val="Hyperlink"/>
          </w:rPr>
          <w:t xml:space="preserve">Hope Pulmonary Associates</w:t>
        </w:r>
      </w:hyperlink>
      <w:r>
        <w:t xml:space="preserve"> </w:t>
      </w:r>
      <w:r>
        <w:t xml:space="preserve">- High Reliability - Primary source practice website with location and physician information</w:t>
      </w:r>
    </w:p>
    <w:p>
      <w:pPr>
        <w:pStyle w:val="BodyText"/>
      </w:pPr>
      <w:r>
        <w:t xml:space="preserve">[14]</w:t>
      </w:r>
      <w:r>
        <w:t xml:space="preserve"> </w:t>
      </w:r>
      <w:hyperlink r:id="rId64">
        <w:r>
          <w:rPr>
            <w:rStyle w:val="Hyperlink"/>
          </w:rPr>
          <w:t xml:space="preserve">The Lung and Sleep Center of North Texas</w:t>
        </w:r>
      </w:hyperlink>
      <w:r>
        <w:t xml:space="preserve"> </w:t>
      </w:r>
      <w:r>
        <w:t xml:space="preserve">- High Reliability - Primary source practice website with multi-location details</w:t>
      </w:r>
    </w:p>
    <w:p>
      <w:pPr>
        <w:pStyle w:val="BodyText"/>
      </w:pPr>
      <w:r>
        <w:t xml:space="preserve">[15]</w:t>
      </w:r>
      <w:r>
        <w:t xml:space="preserve"> </w:t>
      </w:r>
      <w:hyperlink r:id="rId65">
        <w:r>
          <w:rPr>
            <w:rStyle w:val="Hyperlink"/>
          </w:rPr>
          <w:t xml:space="preserve">Fivestar Pulmonary Associates</w:t>
        </w:r>
      </w:hyperlink>
      <w:r>
        <w:t xml:space="preserve"> </w:t>
      </w:r>
      <w:r>
        <w:t xml:space="preserve">- High Reliability - Primary source practice website with provider and service information</w:t>
      </w:r>
    </w:p>
    <w:p>
      <w:pPr>
        <w:pStyle w:val="BodyText"/>
      </w:pPr>
      <w:r>
        <w:t xml:space="preserve">[16]</w:t>
      </w:r>
      <w:r>
        <w:t xml:space="preserve"> </w:t>
      </w:r>
      <w:hyperlink r:id="rId66">
        <w:r>
          <w:rPr>
            <w:rStyle w:val="Hyperlink"/>
          </w:rPr>
          <w:t xml:space="preserve">North Texas Lung Associates</w:t>
        </w:r>
      </w:hyperlink>
      <w:r>
        <w:t xml:space="preserve"> </w:t>
      </w:r>
      <w:r>
        <w:t xml:space="preserve">- High Reliability - Primary source practice website with location and contact information</w:t>
      </w:r>
    </w:p>
    <w:p>
      <w:pPr>
        <w:pStyle w:val="BodyText"/>
      </w:pPr>
      <w:r>
        <w:t xml:space="preserve">[17]</w:t>
      </w:r>
      <w:r>
        <w:t xml:space="preserve"> </w:t>
      </w:r>
      <w:hyperlink r:id="rId67">
        <w:r>
          <w:rPr>
            <w:rStyle w:val="Hyperlink"/>
          </w:rPr>
          <w:t xml:space="preserve">North Texas Allergy and Asthma Center</w:t>
        </w:r>
      </w:hyperlink>
      <w:r>
        <w:t xml:space="preserve"> </w:t>
      </w:r>
      <w:r>
        <w:t xml:space="preserve">- High Reliability - Primary source practice website with physician team and location information</w:t>
      </w:r>
    </w:p>
    <w:p>
      <w:pPr>
        <w:pStyle w:val="BodyText"/>
      </w:pPr>
      <w:r>
        <w:t xml:space="preserve">[18]</w:t>
      </w:r>
      <w:r>
        <w:t xml:space="preserve"> </w:t>
      </w:r>
      <w:hyperlink r:id="rId68">
        <w:r>
          <w:rPr>
            <w:rStyle w:val="Hyperlink"/>
          </w:rPr>
          <w:t xml:space="preserve">Family Allergy and Asthma Care - Denton</w:t>
        </w:r>
      </w:hyperlink>
      <w:r>
        <w:t xml:space="preserve"> </w:t>
      </w:r>
      <w:r>
        <w:t xml:space="preserve">- High Reliability - Primary source practice website with provider and service details</w:t>
      </w:r>
    </w:p>
    <w:p>
      <w:pPr>
        <w:pStyle w:val="BodyText"/>
      </w:pPr>
      <w:r>
        <w:t xml:space="preserve">[19]</w:t>
      </w:r>
      <w:r>
        <w:t xml:space="preserve"> </w:t>
      </w:r>
      <w:hyperlink r:id="rId69">
        <w:r>
          <w:rPr>
            <w:rStyle w:val="Hyperlink"/>
          </w:rPr>
          <w:t xml:space="preserve">North Texas Kidney Disease Associates</w:t>
        </w:r>
      </w:hyperlink>
      <w:r>
        <w:t xml:space="preserve"> </w:t>
      </w:r>
      <w:r>
        <w:t xml:space="preserve">- High Reliability - Primary source practice website with multi-location and physician information</w:t>
      </w:r>
    </w:p>
    <w:p>
      <w:pPr>
        <w:pStyle w:val="BodyText"/>
      </w:pPr>
      <w:r>
        <w:t xml:space="preserve">[20]</w:t>
      </w:r>
      <w:r>
        <w:t xml:space="preserve"> </w:t>
      </w:r>
      <w:hyperlink r:id="rId70">
        <w:r>
          <w:rPr>
            <w:rStyle w:val="Hyperlink"/>
          </w:rPr>
          <w:t xml:space="preserve">North Texas Nephrology Associates, P.A.</w:t>
        </w:r>
      </w:hyperlink>
      <w:r>
        <w:t xml:space="preserve"> </w:t>
      </w:r>
      <w:r>
        <w:t xml:space="preserve">- High Reliability - Primary source practice website with physician owners and location details</w:t>
      </w:r>
    </w:p>
    <w:p>
      <w:pPr>
        <w:pStyle w:val="BodyText"/>
      </w:pPr>
      <w:r>
        <w:t xml:space="preserve">[21]</w:t>
      </w:r>
      <w:r>
        <w:t xml:space="preserve"> </w:t>
      </w:r>
      <w:hyperlink r:id="rId71">
        <w:r>
          <w:rPr>
            <w:rStyle w:val="Hyperlink"/>
          </w:rPr>
          <w:t xml:space="preserve">Texas Kidney Institute</w:t>
        </w:r>
      </w:hyperlink>
      <w:r>
        <w:t xml:space="preserve"> </w:t>
      </w:r>
      <w:r>
        <w:t xml:space="preserve">- High Reliability - Primary source practice website with founder and contact information</w:t>
      </w:r>
    </w:p>
    <w:p>
      <w:pPr>
        <w:pStyle w:val="BodyText"/>
      </w:pPr>
      <w:r>
        <w:t xml:space="preserve">[22]</w:t>
      </w:r>
      <w:r>
        <w:t xml:space="preserve"> </w:t>
      </w:r>
      <w:hyperlink r:id="rId72">
        <w:r>
          <w:rPr>
            <w:rStyle w:val="Hyperlink"/>
          </w:rPr>
          <w:t xml:space="preserve">Renal Care of Texas</w:t>
        </w:r>
      </w:hyperlink>
      <w:r>
        <w:t xml:space="preserve"> </w:t>
      </w:r>
      <w:r>
        <w:t xml:space="preserve">- High Reliability - Primary source practice website with physician and service information</w:t>
      </w:r>
    </w:p>
    <w:p>
      <w:pPr>
        <w:pStyle w:val="BodyText"/>
      </w:pPr>
      <w:r>
        <w:t xml:space="preserve">[23]</w:t>
      </w:r>
      <w:r>
        <w:t xml:space="preserve"> </w:t>
      </w:r>
      <w:hyperlink r:id="rId73">
        <w:r>
          <w:rPr>
            <w:rStyle w:val="Hyperlink"/>
          </w:rPr>
          <w:t xml:space="preserve">Scientific Health Development (SHD) - Dallas-based Medtech VC</w:t>
        </w:r>
      </w:hyperlink>
      <w:r>
        <w:t xml:space="preserve"> </w:t>
      </w:r>
      <w:r>
        <w:t xml:space="preserve">- High Reliability - Primary source, firm website</w:t>
      </w:r>
    </w:p>
    <w:p>
      <w:pPr>
        <w:pStyle w:val="BodyText"/>
      </w:pPr>
      <w:r>
        <w:t xml:space="preserve">[24]</w:t>
      </w:r>
      <w:r>
        <w:t xml:space="preserve"> </w:t>
      </w:r>
      <w:hyperlink r:id="rId74">
        <w:r>
          <w:rPr>
            <w:rStyle w:val="Hyperlink"/>
          </w:rPr>
          <w:t xml:space="preserve">Top Venture Capital Firms and Investors in Dallas - OpenVC</w:t>
        </w:r>
      </w:hyperlink>
      <w:r>
        <w:t xml:space="preserve"> </w:t>
      </w:r>
      <w:r>
        <w:t xml:space="preserve">- High Reliability - Established investor database</w:t>
      </w:r>
    </w:p>
    <w:p>
      <w:pPr>
        <w:pStyle w:val="BodyText"/>
      </w:pPr>
      <w:r>
        <w:t xml:space="preserve">[25]</w:t>
      </w:r>
      <w:r>
        <w:t xml:space="preserve"> </w:t>
      </w:r>
      <w:hyperlink r:id="rId75">
        <w:r>
          <w:rPr>
            <w:rStyle w:val="Hyperlink"/>
          </w:rPr>
          <w:t xml:space="preserve">AI Healthcare Capital - Healthcare Technology PE Fund</w:t>
        </w:r>
      </w:hyperlink>
      <w:r>
        <w:t xml:space="preserve"> </w:t>
      </w:r>
      <w:r>
        <w:t xml:space="preserve">- High Reliability - Primary source, firm website</w:t>
      </w:r>
    </w:p>
    <w:p>
      <w:pPr>
        <w:pStyle w:val="BodyText"/>
      </w:pPr>
      <w:r>
        <w:t xml:space="preserve">[26]</w:t>
      </w:r>
      <w:r>
        <w:t xml:space="preserve"> </w:t>
      </w:r>
      <w:hyperlink r:id="rId76">
        <w:r>
          <w:rPr>
            <w:rStyle w:val="Hyperlink"/>
          </w:rPr>
          <w:t xml:space="preserve">North Texas Angel Network</w:t>
        </w:r>
      </w:hyperlink>
      <w:r>
        <w:t xml:space="preserve"> </w:t>
      </w:r>
      <w:r>
        <w:t xml:space="preserve">- High Reliability - Primary source, organization website</w:t>
      </w:r>
    </w:p>
    <w:p>
      <w:pPr>
        <w:pStyle w:val="BodyText"/>
      </w:pPr>
      <w:r>
        <w:t xml:space="preserve">[27]</w:t>
      </w:r>
      <w:r>
        <w:t xml:space="preserve"> </w:t>
      </w:r>
      <w:hyperlink r:id="rId77">
        <w:r>
          <w:rPr>
            <w:rStyle w:val="Hyperlink"/>
          </w:rPr>
          <w:t xml:space="preserve">Cowtown Angels - Fort Worth</w:t>
        </w:r>
      </w:hyperlink>
      <w:r>
        <w:t xml:space="preserve"> </w:t>
      </w:r>
      <w:r>
        <w:t xml:space="preserve">- High Reliability - Primary source, organization website</w:t>
      </w:r>
    </w:p>
    <w:p>
      <w:pPr>
        <w:pStyle w:val="BodyText"/>
      </w:pPr>
      <w:r>
        <w:t xml:space="preserve">[28]</w:t>
      </w:r>
      <w:r>
        <w:t xml:space="preserve"> </w:t>
      </w:r>
      <w:hyperlink r:id="rId78">
        <w:r>
          <w:rPr>
            <w:rStyle w:val="Hyperlink"/>
          </w:rPr>
          <w:t xml:space="preserve">Health Wildcatters - Dallas Healthcare Accelerator</w:t>
        </w:r>
      </w:hyperlink>
      <w:r>
        <w:t xml:space="preserve"> </w:t>
      </w:r>
      <w:r>
        <w:t xml:space="preserve">- High Reliability - Primary source, accelerator website</w:t>
      </w:r>
    </w:p>
    <w:p>
      <w:pPr>
        <w:pStyle w:val="BodyText"/>
      </w:pPr>
      <w:r>
        <w:t xml:space="preserve">[29]</w:t>
      </w:r>
      <w:r>
        <w:t xml:space="preserve"> </w:t>
      </w:r>
      <w:hyperlink r:id="rId79">
        <w:r>
          <w:rPr>
            <w:rStyle w:val="Hyperlink"/>
          </w:rPr>
          <w:t xml:space="preserve">16 Best Digital Health Investors in 2025 - MedTech Founder</w:t>
        </w:r>
      </w:hyperlink>
      <w:r>
        <w:t xml:space="preserve"> </w:t>
      </w:r>
      <w:r>
        <w:t xml:space="preserve">- High Reliability - Industry publication with verified investor information</w:t>
      </w:r>
    </w:p>
    <w:p>
      <w:pPr>
        <w:pStyle w:val="BodyText"/>
      </w:pPr>
      <w:r>
        <w:t xml:space="preserve">[30]</w:t>
      </w:r>
      <w:r>
        <w:t xml:space="preserve"> </w:t>
      </w:r>
      <w:hyperlink r:id="rId80">
        <w:r>
          <w:rPr>
            <w:rStyle w:val="Hyperlink"/>
          </w:rPr>
          <w:t xml:space="preserve">Digital Health Venture Partners - Seed-stage Healthcare VC</w:t>
        </w:r>
      </w:hyperlink>
      <w:r>
        <w:t xml:space="preserve"> </w:t>
      </w:r>
      <w:r>
        <w:t xml:space="preserve">- High Reliability - Primary source, firm website</w:t>
      </w:r>
    </w:p>
    <w:p>
      <w:pPr>
        <w:pStyle w:val="BodyText"/>
      </w:pPr>
      <w:r>
        <w:t xml:space="preserve">[31]</w:t>
      </w:r>
      <w:r>
        <w:t xml:space="preserve"> </w:t>
      </w:r>
      <w:hyperlink r:id="rId81">
        <w:r>
          <w:rPr>
            <w:rStyle w:val="Hyperlink"/>
          </w:rPr>
          <w:t xml:space="preserve">15 Best Healthcare VC Firms: The 2025 Investor List - Rho</w:t>
        </w:r>
      </w:hyperlink>
      <w:r>
        <w:t xml:space="preserve"> </w:t>
      </w:r>
      <w:r>
        <w:t xml:space="preserve">- High Reliability - Industry publication with comprehensive data</w:t>
      </w:r>
    </w:p>
    <w:p>
      <w:pPr>
        <w:pStyle w:val="BodyText"/>
      </w:pPr>
      <w:r>
        <w:t xml:space="preserve">[32]</w:t>
      </w:r>
      <w:r>
        <w:t xml:space="preserve"> </w:t>
      </w:r>
      <w:hyperlink r:id="rId82">
        <w:r>
          <w:rPr>
            <w:rStyle w:val="Hyperlink"/>
          </w:rPr>
          <w:t xml:space="preserve">HealthTech Capital - Early-stage HealthTech Investor</w:t>
        </w:r>
      </w:hyperlink>
      <w:r>
        <w:t xml:space="preserve"> </w:t>
      </w:r>
      <w:r>
        <w:t xml:space="preserve">- High Reliability - Primary source, organization website</w:t>
      </w:r>
    </w:p>
    <w:p>
      <w:pPr>
        <w:pStyle w:val="BodyText"/>
      </w:pPr>
      <w:r>
        <w:t xml:space="preserve">[33]</w:t>
      </w:r>
      <w:r>
        <w:t xml:space="preserve"> </w:t>
      </w:r>
      <w:hyperlink r:id="rId83">
        <w:r>
          <w:rPr>
            <w:rStyle w:val="Hyperlink"/>
          </w:rPr>
          <w:t xml:space="preserve">7 Best Digital Health Accelerators in 2025 - MedTech Founder</w:t>
        </w:r>
      </w:hyperlink>
      <w:r>
        <w:t xml:space="preserve"> </w:t>
      </w:r>
      <w:r>
        <w:t xml:space="preserve">- High Reliability - Industry publication with verified program details</w:t>
      </w:r>
    </w:p>
    <w:p>
      <w:pPr>
        <w:pStyle w:val="BodyText"/>
      </w:pPr>
      <w:r>
        <w:t xml:space="preserve">[34]</w:t>
      </w:r>
      <w:r>
        <w:t xml:space="preserve"> </w:t>
      </w:r>
      <w:hyperlink r:id="rId84">
        <w:r>
          <w:rPr>
            <w:rStyle w:val="Hyperlink"/>
          </w:rPr>
          <w:t xml:space="preserve">Cedars-Sinai Accelerator Program</w:t>
        </w:r>
      </w:hyperlink>
      <w:r>
        <w:t xml:space="preserve"> </w:t>
      </w:r>
      <w:r>
        <w:t xml:space="preserve">- High Reliability - Primary source, accelerator website</w:t>
      </w:r>
    </w:p>
    <w:p>
      <w:pPr>
        <w:pStyle w:val="BodyText"/>
      </w:pPr>
      <w:r>
        <w:t xml:space="preserve">[35]</w:t>
      </w:r>
      <w:r>
        <w:t xml:space="preserve"> </w:t>
      </w:r>
      <w:hyperlink r:id="rId85">
        <w:r>
          <w:rPr>
            <w:rStyle w:val="Hyperlink"/>
          </w:rPr>
          <w:t xml:space="preserve">MedTech Color Pitch Competition</w:t>
        </w:r>
      </w:hyperlink>
      <w:r>
        <w:t xml:space="preserve"> </w:t>
      </w:r>
      <w:r>
        <w:t xml:space="preserve">- High Reliability - Primary source, competition website</w:t>
      </w:r>
    </w:p>
    <w:p>
      <w:pPr>
        <w:pStyle w:val="BodyText"/>
      </w:pPr>
      <w:r>
        <w:t xml:space="preserve">[36]</w:t>
      </w:r>
      <w:r>
        <w:t xml:space="preserve"> </w:t>
      </w:r>
      <w:hyperlink r:id="rId86">
        <w:r>
          <w:rPr>
            <w:rStyle w:val="Hyperlink"/>
          </w:rPr>
          <w:t xml:space="preserve">MEDICA START-UP COMPETITION</w:t>
        </w:r>
      </w:hyperlink>
      <w:r>
        <w:t xml:space="preserve"> </w:t>
      </w:r>
      <w:r>
        <w:t xml:space="preserve">- High Reliability - Primary source, event website</w:t>
      </w:r>
    </w:p>
    <w:p>
      <w:pPr>
        <w:pStyle w:val="BodyText"/>
      </w:pPr>
      <w:r>
        <w:t xml:space="preserve">[37]</w:t>
      </w:r>
      <w:r>
        <w:t xml:space="preserve"> </w:t>
      </w:r>
      <w:hyperlink r:id="rId87">
        <w:r>
          <w:rPr>
            <w:rStyle w:val="Hyperlink"/>
          </w:rPr>
          <w:t xml:space="preserve">Health Tech Challengers - Healthcare Pitch Competition</w:t>
        </w:r>
      </w:hyperlink>
      <w:r>
        <w:t xml:space="preserve"> </w:t>
      </w:r>
      <w:r>
        <w:t xml:space="preserve">- High Reliability - Primary source, competition website</w:t>
      </w:r>
    </w:p>
    <w:p>
      <w:pPr>
        <w:pStyle w:val="BodyText"/>
      </w:pPr>
      <w:r>
        <w:t xml:space="preserve">[38]</w:t>
      </w:r>
      <w:r>
        <w:t xml:space="preserve"> </w:t>
      </w:r>
      <w:hyperlink r:id="rId88">
        <w:r>
          <w:rPr>
            <w:rStyle w:val="Hyperlink"/>
          </w:rPr>
          <w:t xml:space="preserve">ArdiA Health Labs - Clinical Intelligence Engine</w:t>
        </w:r>
      </w:hyperlink>
      <w:r>
        <w:t xml:space="preserve"> </w:t>
      </w:r>
      <w:r>
        <w:t xml:space="preserve">- High Reliability - Primary source from the company</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dentonlungdr.com/" TargetMode="External" /><Relationship Type="http://schemas.openxmlformats.org/officeDocument/2006/relationships/hyperlink" Id="rId75" Target="https://aihealthcarecapital.com/" TargetMode="External" /><Relationship Type="http://schemas.openxmlformats.org/officeDocument/2006/relationships/hyperlink" Id="rId84" Target="https://csaccelerator.com/program" TargetMode="External" /><Relationship Type="http://schemas.openxmlformats.org/officeDocument/2006/relationships/hyperlink" Id="rId80" Target="https://dhvp.io/" TargetMode="External" /><Relationship Type="http://schemas.openxmlformats.org/officeDocument/2006/relationships/hyperlink" Id="rId68" Target="https://faaccares.com/locations/denton/" TargetMode="External" /><Relationship Type="http://schemas.openxmlformats.org/officeDocument/2006/relationships/hyperlink" Id="rId82" Target="https://healthtechcapital.com/" TargetMode="External" /><Relationship Type="http://schemas.openxmlformats.org/officeDocument/2006/relationships/hyperlink" Id="rId87" Target="https://healthtechchallengers.com/" TargetMode="External" /><Relationship Type="http://schemas.openxmlformats.org/officeDocument/2006/relationships/hyperlink" Id="rId63" Target="https://hopepulm.com/" TargetMode="External" /><Relationship Type="http://schemas.openxmlformats.org/officeDocument/2006/relationships/hyperlink" Id="rId61" Target="https://lonestarpulmonarysleep.com/" TargetMode="External" /><Relationship Type="http://schemas.openxmlformats.org/officeDocument/2006/relationships/hyperlink" Id="rId64" Target="https://lungsleeptexas.com/" TargetMode="External" /><Relationship Type="http://schemas.openxmlformats.org/officeDocument/2006/relationships/hyperlink" Id="rId83" Target="https://medtechfounder.com/best-digital-health-accelerators/" TargetMode="External" /><Relationship Type="http://schemas.openxmlformats.org/officeDocument/2006/relationships/hyperlink" Id="rId79" Target="https://medtechfounder.com/best-digital-health-investors/" TargetMode="External" /><Relationship Type="http://schemas.openxmlformats.org/officeDocument/2006/relationships/hyperlink" Id="rId52" Target="https://menlovc.com/perspective/2025-the-state-of-ai-in-healthcare/" TargetMode="External" /><Relationship Type="http://schemas.openxmlformats.org/officeDocument/2006/relationships/hyperlink" Id="rId69" Target="https://northtexaskidney.com/" TargetMode="External" /><Relationship Type="http://schemas.openxmlformats.org/officeDocument/2006/relationships/hyperlink" Id="rId66" Target="https://northtexaslungassociates.com/" TargetMode="External" /><Relationship Type="http://schemas.openxmlformats.org/officeDocument/2006/relationships/hyperlink" Id="rId72" Target="https://renalcareoftexas.com/" TargetMode="External" /><Relationship Type="http://schemas.openxmlformats.org/officeDocument/2006/relationships/hyperlink" Id="rId73" Target="https://shdpartners.com/" TargetMode="External" /><Relationship Type="http://schemas.openxmlformats.org/officeDocument/2006/relationships/hyperlink" Id="rId71" Target="https://texaskidneyinstitute.com/" TargetMode="External" /><Relationship Type="http://schemas.openxmlformats.org/officeDocument/2006/relationships/hyperlink" Id="rId58" Target="https://www.ajmc.com/view/reducing-readmissions-in-the-safety-net-through-ai-and-automation" TargetMode="External" /><Relationship Type="http://schemas.openxmlformats.org/officeDocument/2006/relationships/hyperlink" Id="rId88" Target="https://www.ardiahealthlabs.com/" TargetMode="External" /><Relationship Type="http://schemas.openxmlformats.org/officeDocument/2006/relationships/hyperlink" Id="rId59" Target="https://www.cgi.com/us/en-us/blog/health/tech-transformation-healthcare-payers-fundamentals" TargetMode="External" /><Relationship Type="http://schemas.openxmlformats.org/officeDocument/2006/relationships/hyperlink" Id="rId53" Target="https://www.clearstep.health/blog/ai-in-action-reducing-hospitalizations-and-readmissions" TargetMode="External" /><Relationship Type="http://schemas.openxmlformats.org/officeDocument/2006/relationships/hyperlink" Id="rId77" Target="https://www.cowtownangels.org/" TargetMode="External" /><Relationship Type="http://schemas.openxmlformats.org/officeDocument/2006/relationships/hyperlink" Id="rId56" Target="https://www.definitivehc.com/resources/healthcare-insights/top-healthcare-payors-by-incurred-claims" TargetMode="External" /><Relationship Type="http://schemas.openxmlformats.org/officeDocument/2006/relationships/hyperlink" Id="rId57" Target="https://www.dmagazine.com/healthcare-business/2017/10/dfw-health-insurance-market-more-competitive-than-many/" TargetMode="External" /><Relationship Type="http://schemas.openxmlformats.org/officeDocument/2006/relationships/hyperlink" Id="rId65" Target="https://www.fivestarpulm.com/" TargetMode="External" /><Relationship Type="http://schemas.openxmlformats.org/officeDocument/2006/relationships/hyperlink" Id="rId51" Target="https://www.forbes.com/sites/sachinjain/2025/10/21/ai-adoption-in-healthcare-is-surging-what-a-new-report-reveals/" TargetMode="External" /><Relationship Type="http://schemas.openxmlformats.org/officeDocument/2006/relationships/hyperlink" Id="rId78" Target="https://www.healthwildcatters.com/" TargetMode="External" /><Relationship Type="http://schemas.openxmlformats.org/officeDocument/2006/relationships/hyperlink" Id="rId86" Target="https://www.medica-tradefair.com/en/Program/Forums/MEDICA_INNOVATION_FORUM/MEDICA_START-UP_COMPETITION_1" TargetMode="External" /><Relationship Type="http://schemas.openxmlformats.org/officeDocument/2006/relationships/hyperlink" Id="rId85" Target="https://www.medtechcolor.org/pitch_competition" TargetMode="External" /><Relationship Type="http://schemas.openxmlformats.org/officeDocument/2006/relationships/hyperlink" Id="rId67" Target="https://www.northtexasallergy.com/" TargetMode="External" /><Relationship Type="http://schemas.openxmlformats.org/officeDocument/2006/relationships/hyperlink" Id="rId76" Target="https://www.northtexasangels.org/" TargetMode="External" /><Relationship Type="http://schemas.openxmlformats.org/officeDocument/2006/relationships/hyperlink" Id="rId70" Target="https://www.ntna.us/" TargetMode="External" /><Relationship Type="http://schemas.openxmlformats.org/officeDocument/2006/relationships/hyperlink" Id="rId74" Target="https://www.openvc.app/investor-lists/venture-capital-firms-investors-dallas" TargetMode="External" /><Relationship Type="http://schemas.openxmlformats.org/officeDocument/2006/relationships/hyperlink" Id="rId81" Target="https://www.rho.co/blog/vcs-in-healthcare" TargetMode="External" /><Relationship Type="http://schemas.openxmlformats.org/officeDocument/2006/relationships/hyperlink" Id="rId55" Target="https://www.stretchdollar.com/city-guide/best-health-insurance-dallas-texas" TargetMode="External" /><Relationship Type="http://schemas.openxmlformats.org/officeDocument/2006/relationships/hyperlink" Id="rId60" Target="https://www.uipath.com/resources/automation-case-studies/health-insurance-company-uses-ai-center" TargetMode="External" /><Relationship Type="http://schemas.openxmlformats.org/officeDocument/2006/relationships/hyperlink" Id="rId54" Target="https://www.zs.com/insights/insurance-companies-meet-startups-five-keys-to-a-successful-part" TargetMode="External" /></Relationships>
</file>

<file path=word/_rels/footnotes.xml.rels><?xml version="1.0" encoding="UTF-8"?><Relationships xmlns="http://schemas.openxmlformats.org/package/2006/relationships"><Relationship Type="http://schemas.openxmlformats.org/officeDocument/2006/relationships/hyperlink" Id="rId62" Target="http://dentonlungdr.com/" TargetMode="External" /><Relationship Type="http://schemas.openxmlformats.org/officeDocument/2006/relationships/hyperlink" Id="rId75" Target="https://aihealthcarecapital.com/" TargetMode="External" /><Relationship Type="http://schemas.openxmlformats.org/officeDocument/2006/relationships/hyperlink" Id="rId84" Target="https://csaccelerator.com/program" TargetMode="External" /><Relationship Type="http://schemas.openxmlformats.org/officeDocument/2006/relationships/hyperlink" Id="rId80" Target="https://dhvp.io/" TargetMode="External" /><Relationship Type="http://schemas.openxmlformats.org/officeDocument/2006/relationships/hyperlink" Id="rId68" Target="https://faaccares.com/locations/denton/" TargetMode="External" /><Relationship Type="http://schemas.openxmlformats.org/officeDocument/2006/relationships/hyperlink" Id="rId82" Target="https://healthtechcapital.com/" TargetMode="External" /><Relationship Type="http://schemas.openxmlformats.org/officeDocument/2006/relationships/hyperlink" Id="rId87" Target="https://healthtechchallengers.com/" TargetMode="External" /><Relationship Type="http://schemas.openxmlformats.org/officeDocument/2006/relationships/hyperlink" Id="rId63" Target="https://hopepulm.com/" TargetMode="External" /><Relationship Type="http://schemas.openxmlformats.org/officeDocument/2006/relationships/hyperlink" Id="rId61" Target="https://lonestarpulmonarysleep.com/" TargetMode="External" /><Relationship Type="http://schemas.openxmlformats.org/officeDocument/2006/relationships/hyperlink" Id="rId64" Target="https://lungsleeptexas.com/" TargetMode="External" /><Relationship Type="http://schemas.openxmlformats.org/officeDocument/2006/relationships/hyperlink" Id="rId83" Target="https://medtechfounder.com/best-digital-health-accelerators/" TargetMode="External" /><Relationship Type="http://schemas.openxmlformats.org/officeDocument/2006/relationships/hyperlink" Id="rId79" Target="https://medtechfounder.com/best-digital-health-investors/" TargetMode="External" /><Relationship Type="http://schemas.openxmlformats.org/officeDocument/2006/relationships/hyperlink" Id="rId52" Target="https://menlovc.com/perspective/2025-the-state-of-ai-in-healthcare/" TargetMode="External" /><Relationship Type="http://schemas.openxmlformats.org/officeDocument/2006/relationships/hyperlink" Id="rId69" Target="https://northtexaskidney.com/" TargetMode="External" /><Relationship Type="http://schemas.openxmlformats.org/officeDocument/2006/relationships/hyperlink" Id="rId66" Target="https://northtexaslungassociates.com/" TargetMode="External" /><Relationship Type="http://schemas.openxmlformats.org/officeDocument/2006/relationships/hyperlink" Id="rId72" Target="https://renalcareoftexas.com/" TargetMode="External" /><Relationship Type="http://schemas.openxmlformats.org/officeDocument/2006/relationships/hyperlink" Id="rId73" Target="https://shdpartners.com/" TargetMode="External" /><Relationship Type="http://schemas.openxmlformats.org/officeDocument/2006/relationships/hyperlink" Id="rId71" Target="https://texaskidneyinstitute.com/" TargetMode="External" /><Relationship Type="http://schemas.openxmlformats.org/officeDocument/2006/relationships/hyperlink" Id="rId58" Target="https://www.ajmc.com/view/reducing-readmissions-in-the-safety-net-through-ai-and-automation" TargetMode="External" /><Relationship Type="http://schemas.openxmlformats.org/officeDocument/2006/relationships/hyperlink" Id="rId88" Target="https://www.ardiahealthlabs.com/" TargetMode="External" /><Relationship Type="http://schemas.openxmlformats.org/officeDocument/2006/relationships/hyperlink" Id="rId59" Target="https://www.cgi.com/us/en-us/blog/health/tech-transformation-healthcare-payers-fundamentals" TargetMode="External" /><Relationship Type="http://schemas.openxmlformats.org/officeDocument/2006/relationships/hyperlink" Id="rId53" Target="https://www.clearstep.health/blog/ai-in-action-reducing-hospitalizations-and-readmissions" TargetMode="External" /><Relationship Type="http://schemas.openxmlformats.org/officeDocument/2006/relationships/hyperlink" Id="rId77" Target="https://www.cowtownangels.org/" TargetMode="External" /><Relationship Type="http://schemas.openxmlformats.org/officeDocument/2006/relationships/hyperlink" Id="rId56" Target="https://www.definitivehc.com/resources/healthcare-insights/top-healthcare-payors-by-incurred-claims" TargetMode="External" /><Relationship Type="http://schemas.openxmlformats.org/officeDocument/2006/relationships/hyperlink" Id="rId57" Target="https://www.dmagazine.com/healthcare-business/2017/10/dfw-health-insurance-market-more-competitive-than-many/" TargetMode="External" /><Relationship Type="http://schemas.openxmlformats.org/officeDocument/2006/relationships/hyperlink" Id="rId65" Target="https://www.fivestarpulm.com/" TargetMode="External" /><Relationship Type="http://schemas.openxmlformats.org/officeDocument/2006/relationships/hyperlink" Id="rId51" Target="https://www.forbes.com/sites/sachinjain/2025/10/21/ai-adoption-in-healthcare-is-surging-what-a-new-report-reveals/" TargetMode="External" /><Relationship Type="http://schemas.openxmlformats.org/officeDocument/2006/relationships/hyperlink" Id="rId78" Target="https://www.healthwildcatters.com/" TargetMode="External" /><Relationship Type="http://schemas.openxmlformats.org/officeDocument/2006/relationships/hyperlink" Id="rId86" Target="https://www.medica-tradefair.com/en/Program/Forums/MEDICA_INNOVATION_FORUM/MEDICA_START-UP_COMPETITION_1" TargetMode="External" /><Relationship Type="http://schemas.openxmlformats.org/officeDocument/2006/relationships/hyperlink" Id="rId85" Target="https://www.medtechcolor.org/pitch_competition" TargetMode="External" /><Relationship Type="http://schemas.openxmlformats.org/officeDocument/2006/relationships/hyperlink" Id="rId67" Target="https://www.northtexasallergy.com/" TargetMode="External" /><Relationship Type="http://schemas.openxmlformats.org/officeDocument/2006/relationships/hyperlink" Id="rId76" Target="https://www.northtexasangels.org/" TargetMode="External" /><Relationship Type="http://schemas.openxmlformats.org/officeDocument/2006/relationships/hyperlink" Id="rId70" Target="https://www.ntna.us/" TargetMode="External" /><Relationship Type="http://schemas.openxmlformats.org/officeDocument/2006/relationships/hyperlink" Id="rId74" Target="https://www.openvc.app/investor-lists/venture-capital-firms-investors-dallas" TargetMode="External" /><Relationship Type="http://schemas.openxmlformats.org/officeDocument/2006/relationships/hyperlink" Id="rId81" Target="https://www.rho.co/blog/vcs-in-healthcare" TargetMode="External" /><Relationship Type="http://schemas.openxmlformats.org/officeDocument/2006/relationships/hyperlink" Id="rId55" Target="https://www.stretchdollar.com/city-guide/best-health-insurance-dallas-texas" TargetMode="External" /><Relationship Type="http://schemas.openxmlformats.org/officeDocument/2006/relationships/hyperlink" Id="rId60" Target="https://www.uipath.com/resources/automation-case-studies/health-insurance-company-uses-ai-center" TargetMode="External" /><Relationship Type="http://schemas.openxmlformats.org/officeDocument/2006/relationships/hyperlink" Id="rId54" Target="https://www.zs.com/insights/insurance-companies-meet-startups-five-keys-to-a-successful-pa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2025-12-29T19:53:31Z</dcterms:created>
  <dcterms:modified xsi:type="dcterms:W3CDTF">2025-12-29T19:53:31Z</dcterms:modified>
</cp:coreProperties>
</file>

<file path=docProps/custom.xml><?xml version="1.0" encoding="utf-8"?>
<Properties xmlns="http://schemas.openxmlformats.org/officeDocument/2006/custom-properties" xmlns:vt="http://schemas.openxmlformats.org/officeDocument/2006/docPropsVTypes"/>
</file>