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d752bfaee3bab7cde4d080d8f877b79623eba8"/>
    <w:p>
      <w:pPr>
        <w:pStyle w:val="Heading1"/>
      </w:pPr>
      <w:r>
        <w:t xml:space="preserve">The Independent Laboratory Billing Crisis: AI-Addressable Revenue Loss in Molecular Diagnostics and Pharmacogenomics — A Systematic Review</w:t>
      </w:r>
    </w:p>
    <w:p>
      <w:pPr>
        <w:pStyle w:val="FirstParagraph"/>
      </w:pPr>
      <w:r>
        <w:rPr>
          <w:bCs/>
          <w:b/>
        </w:rPr>
        <w:t xml:space="preserve">Authors:</w:t>
      </w:r>
      <w:r>
        <w:t xml:space="preserve"> </w:t>
      </w:r>
      <w:r>
        <w:t xml:space="preserve">Rambabu Vadlamudi¹, Manasa Jampani¹</w:t>
      </w:r>
      <w:r>
        <w:br/>
      </w:r>
      <w:r>
        <w:t xml:space="preserve">¹ Ardia Health Labs, Argyle, TX 76226, USA</w:t>
      </w:r>
      <w:r>
        <w:br/>
      </w:r>
      <w:r>
        <w:rPr>
          <w:bCs/>
          <w:b/>
        </w:rPr>
        <w:t xml:space="preserve">Correspondence:</w:t>
      </w:r>
      <w:r>
        <w:t xml:space="preserve"> </w:t>
      </w:r>
      <w:r>
        <w:t xml:space="preserve">ram.vadlamudi@ardiahealthlabs.com</w:t>
      </w:r>
    </w:p>
    <w:p>
      <w:pPr>
        <w:pStyle w:val="BodyText"/>
      </w:pPr>
      <w:r>
        <w:rPr>
          <w:bCs/>
          <w:b/>
        </w:rPr>
        <w:t xml:space="preserve">Submission Target:</w:t>
      </w:r>
      <w:r>
        <w:t xml:space="preserve"> </w:t>
      </w:r>
      <w:r>
        <w:t xml:space="preserve">arXiv q-bio.QM (preprint) → Clinical Chemistry or Journal of Managed Care &amp; Specialty Pharmacy</w:t>
      </w:r>
      <w:r>
        <w:br/>
      </w:r>
      <w:r>
        <w:rPr>
          <w:bCs/>
          <w:b/>
        </w:rPr>
        <w:t xml:space="preserve">Status:</w:t>
      </w:r>
      <w:r>
        <w:t xml:space="preserve"> </w:t>
      </w:r>
      <w:r>
        <w:t xml:space="preserve">Draft — ready for arXiv submission</w:t>
      </w:r>
    </w:p>
    <w:p>
      <w:r>
        <w:pict>
          <v:rect style="width:0;height:1.5pt" o:hralign="center" o:hrstd="t" o:hr="t"/>
        </w:pict>
      </w:r>
    </w:p>
    <w:bookmarkStart w:id="20" w:name="abstract"/>
    <w:p>
      <w:pPr>
        <w:pStyle w:val="Heading2"/>
      </w:pPr>
      <w:r>
        <w:t xml:space="preserve">Abstract</w:t>
      </w:r>
    </w:p>
    <w:p>
      <w:pPr>
        <w:pStyle w:val="FirstParagraph"/>
      </w:pPr>
      <w:r>
        <w:t xml:space="preserve">Independent clinical laboratories in the United States face a systemic reimbursement crisis driven by claim denial rates that are disproportionately high compared to hospital-based laboratory billing. This systematic review synthesizes evidence from published industry reports and peer-reviewed analyses to characterize the scale, causes, and economic consequences of molecular diagnostic claim denial, and evaluates the feasibility of AI-driven administrative interventions.</w:t>
      </w:r>
    </w:p>
    <w:p>
      <w:pPr>
        <w:pStyle w:val="BodyText"/>
      </w:pPr>
      <w:r>
        <w:t xml:space="preserve">We identified a molecular diagnostics claim denial rate of 35.3% — the highest across all healthcare specialties — from a 20-million-claim industry analysis (XiFin 2024). A Georgetown University JAMA Network Open study (n=29,919 cancer-related NGS claims; 24,443 unique Medicare beneficiaries) documented a 23.3% NGS denial rate, with independent laboratories facing 2.76× higher denial odds compared to hospital-based laboratories after multivariate adjustment. For pharmacogenomics (PGx) specifically, only 46% of claims are reimbursed (Lemke et al., Frontiers in Pharmacology, 2023).</w:t>
      </w:r>
    </w:p>
    <w:p>
      <w:pPr>
        <w:pStyle w:val="BodyText"/>
      </w:pPr>
      <w:r>
        <w:t xml:space="preserve">Key contributing factors include coding complexity (75,000 molecular diagnostic tests mapped to under 200 CPT codes), MolDX program policy volatility, and resource asymmetry between independent laboratories and payer AI denial systems. Regulatory compounding risks include PAMA 2027 reimbursement cuts of up to 45% cumulative by 2029.</w:t>
      </w:r>
    </w:p>
    <w:p>
      <w:pPr>
        <w:pStyle w:val="BodyText"/>
      </w:pPr>
      <w:r>
        <w:t xml:space="preserve">We evaluate three intervention tiers: human-only appeals (insufficient scale), conventional RCM technology (hospital-optimized, inadequate for MolDX domain), and hybrid AI systems applying deterministic policy engines with LLM clinical reasoning. The evidence supports a strong national interest rationale for developing AI-native RCM platforms specifically architected for independent laboratory molecular diagnostic billing.</w:t>
      </w:r>
    </w:p>
    <w:p>
      <w:pPr>
        <w:pStyle w:val="BodyText"/>
      </w:pPr>
      <w:r>
        <w:rPr>
          <w:bCs/>
          <w:b/>
        </w:rPr>
        <w:t xml:space="preserve">Keywords:</w:t>
      </w:r>
      <w:r>
        <w:t xml:space="preserve"> </w:t>
      </w:r>
      <w:r>
        <w:t xml:space="preserve">independent laboratory, molecular diagnostics, pharmacogenomics, claim denial, revenue cycle management, PAMA, MolDX, healthcare AI</w:t>
      </w:r>
    </w:p>
    <w:p>
      <w:r>
        <w:pict>
          <v:rect style="width:0;height:1.5pt" o:hralign="center" o:hrstd="t" o:hr="t"/>
        </w:pict>
      </w:r>
    </w:p>
    <w:bookmarkEnd w:id="20"/>
    <w:bookmarkStart w:id="23" w:name="introduction"/>
    <w:p>
      <w:pPr>
        <w:pStyle w:val="Heading2"/>
      </w:pPr>
      <w:r>
        <w:t xml:space="preserve">1. Introduction</w:t>
      </w:r>
    </w:p>
    <w:bookmarkStart w:id="21" w:name="background"/>
    <w:p>
      <w:pPr>
        <w:pStyle w:val="Heading3"/>
      </w:pPr>
      <w:r>
        <w:t xml:space="preserve">1.1 Background</w:t>
      </w:r>
    </w:p>
    <w:p>
      <w:pPr>
        <w:pStyle w:val="FirstParagraph"/>
      </w:pPr>
      <w:r>
        <w:t xml:space="preserve">Clinical laboratory diagnostics underpin approximately 70% of clinical decision-making in the United States while representing only 3% of total healthcare expenditure [CMS, 2024]. The independent laboratory sector — comprising 7,000+ CLIA-certified facilities operating outside hospital systems — provides approximately 32% of total diagnostic test volume [CMS, 2024], serving rural communities, specialty practices, addiction medicine clinics, and outpatient settings that rely on rapid, accessible molecular testing.</w:t>
      </w:r>
    </w:p>
    <w:p>
      <w:pPr>
        <w:pStyle w:val="BodyText"/>
      </w:pPr>
      <w:r>
        <w:t xml:space="preserve">Molecular diagnostics — including pharmacogenomics (PGx), next-generation sequencing (NGS) panels, toxicology, and liquid biopsy — represent both the fastest-growing and highest-value segment of independent laboratory operations. These tests command higher reimbursement rates than routine chemistry panels but face dramatically higher denial rates due to regulatory complexity unique to the molecular diagnostic billing domain.</w:t>
      </w:r>
    </w:p>
    <w:bookmarkEnd w:id="21"/>
    <w:bookmarkStart w:id="22" w:name="scope-of-this-review"/>
    <w:p>
      <w:pPr>
        <w:pStyle w:val="Heading3"/>
      </w:pPr>
      <w:r>
        <w:t xml:space="preserve">1.2 Scope of This Review</w:t>
      </w:r>
    </w:p>
    <w:p>
      <w:pPr>
        <w:pStyle w:val="FirstParagraph"/>
      </w:pPr>
      <w:r>
        <w:t xml:space="preserve">This systematic review synthesizes published evidence on:</w:t>
      </w:r>
      <w:r>
        <w:t xml:space="preserve"> </w:t>
      </w:r>
      <w:r>
        <w:t xml:space="preserve">1. Claim denial rates in molecular diagnostics and PGx by laboratory type</w:t>
      </w:r>
      <w:r>
        <w:t xml:space="preserve"> </w:t>
      </w:r>
      <w:r>
        <w:t xml:space="preserve">2. Economic consequences of denial rates and the appeal gap</w:t>
      </w:r>
      <w:r>
        <w:t xml:space="preserve"> </w:t>
      </w:r>
      <w:r>
        <w:t xml:space="preserve">3. Contributing regulatory and administrative factors</w:t>
      </w:r>
      <w:r>
        <w:t xml:space="preserve"> </w:t>
      </w:r>
      <w:r>
        <w:t xml:space="preserve">4. Current technology intervention landscape</w:t>
      </w:r>
      <w:r>
        <w:t xml:space="preserve"> </w:t>
      </w:r>
      <w:r>
        <w:t xml:space="preserve">5. Feasibility and design requirements for AI-driven intervention</w:t>
      </w:r>
    </w:p>
    <w:p>
      <w:r>
        <w:pict>
          <v:rect style="width:0;height:1.5pt" o:hralign="center" o:hrstd="t" o:hr="t"/>
        </w:pict>
      </w:r>
    </w:p>
    <w:bookmarkEnd w:id="22"/>
    <w:bookmarkEnd w:id="23"/>
    <w:bookmarkStart w:id="27" w:name="evidence-synthesis"/>
    <w:p>
      <w:pPr>
        <w:pStyle w:val="Heading2"/>
      </w:pPr>
      <w:r>
        <w:t xml:space="preserve">2. Evidence Synthesis</w:t>
      </w:r>
    </w:p>
    <w:bookmarkStart w:id="24" w:name="denial-rates-molecular-diagnostics"/>
    <w:p>
      <w:pPr>
        <w:pStyle w:val="Heading3"/>
      </w:pPr>
      <w:r>
        <w:t xml:space="preserve">2.1 Denial Rates — Molecular Diagnostics</w:t>
      </w:r>
    </w:p>
    <w:p>
      <w:pPr>
        <w:pStyle w:val="FirstParagraph"/>
      </w:pPr>
      <w:r>
        <w:rPr>
          <w:bCs/>
          <w:b/>
        </w:rPr>
        <w:t xml:space="preserve">XiFin 2024 Payor Denial Impact Report</w:t>
      </w:r>
      <w:r>
        <w:t xml:space="preserve"> </w:t>
      </w:r>
      <w:r>
        <w:t xml:space="preserve">(20+ million laboratory claims)</w:t>
      </w:r>
      <w:r>
        <w:t xml:space="preserve"> </w:t>
      </w:r>
      <w:r>
        <w:t xml:space="preserve">- Molecular diagnostics denial rate:</w:t>
      </w:r>
      <w:r>
        <w:t xml:space="preserve"> </w:t>
      </w:r>
      <w:r>
        <w:rPr>
          <w:bCs/>
          <w:b/>
        </w:rPr>
        <w:t xml:space="preserve">35.3%</w:t>
      </w:r>
      <w:r>
        <w:t xml:space="preserve"> </w:t>
      </w:r>
      <w:r>
        <w:t xml:space="preserve">— highest across all healthcare specialties</w:t>
      </w:r>
      <w:r>
        <w:t xml:space="preserve"> </w:t>
      </w:r>
      <w:r>
        <w:t xml:space="preserve">- Context: Radiology denial rate approximately 14%; surgical specialty approximately 11%; primary care approximately 7%</w:t>
      </w:r>
      <w:r>
        <w:t xml:space="preserve"> </w:t>
      </w:r>
      <w:r>
        <w:t xml:space="preserve">- Independent laboratory claims are disproportionately concentrated in the molecular diagnostics category</w:t>
      </w:r>
    </w:p>
    <w:p>
      <w:pPr>
        <w:pStyle w:val="BodyText"/>
      </w:pPr>
      <w:r>
        <w:rPr>
          <w:bCs/>
          <w:b/>
        </w:rPr>
        <w:t xml:space="preserve">JAMA Network Open, 2025</w:t>
      </w:r>
      <w:r>
        <w:t xml:space="preserve"> </w:t>
      </w:r>
      <w:r>
        <w:t xml:space="preserve">(Georgetown University, n=29,919 cancer-related NGS claims; 24,443 unique Medicare beneficiaries)</w:t>
      </w:r>
      <w:r>
        <w:t xml:space="preserve"> </w:t>
      </w:r>
      <w:r>
        <w:t xml:space="preserve">- Overall NGS denial rate:</w:t>
      </w:r>
      <w:r>
        <w:t xml:space="preserve"> </w:t>
      </w:r>
      <w:r>
        <w:rPr>
          <w:bCs/>
          <w:b/>
        </w:rPr>
        <w:t xml:space="preserve">23.3%</w:t>
      </w:r>
      <w:r>
        <w:t xml:space="preserve"> </w:t>
      </w:r>
      <w:r>
        <w:t xml:space="preserve">- Post-NCD change denial rate:</w:t>
      </w:r>
      <w:r>
        <w:t xml:space="preserve"> </w:t>
      </w:r>
      <w:r>
        <w:rPr>
          <w:bCs/>
          <w:b/>
        </w:rPr>
        <w:t xml:space="preserve">27.4%</w:t>
      </w:r>
      <w:r>
        <w:t xml:space="preserve"> </w:t>
      </w:r>
      <w:r>
        <w:t xml:space="preserve">(following CMS NCD 90.2 changes)</w:t>
      </w:r>
      <w:r>
        <w:t xml:space="preserve"> </w:t>
      </w:r>
      <w:r>
        <w:t xml:space="preserve">-</w:t>
      </w:r>
      <w:r>
        <w:t xml:space="preserve"> </w:t>
      </w:r>
      <w:r>
        <w:rPr>
          <w:bCs/>
          <w:b/>
        </w:rPr>
        <w:t xml:space="preserve">Independent laboratories: 2.76× higher denial odds</w:t>
      </w:r>
      <w:r>
        <w:t xml:space="preserve"> </w:t>
      </w:r>
      <w:r>
        <w:t xml:space="preserve">vs. hospital-based labs (multivariate-adjusted OR)</w:t>
      </w:r>
      <w:r>
        <w:t xml:space="preserve"> </w:t>
      </w:r>
      <w:r>
        <w:t xml:space="preserve">- Adjusting for payer type, test complexity, and patient demographics confirms the laboratory setting as an independent predictor of denial</w:t>
      </w:r>
    </w:p>
    <w:p>
      <w:pPr>
        <w:pStyle w:val="BodyText"/>
      </w:pPr>
      <w:r>
        <w:rPr>
          <w:bCs/>
          <w:b/>
        </w:rPr>
        <w:t xml:space="preserve">Frontiers in Pharmacology, 2023</w:t>
      </w:r>
      <w:r>
        <w:t xml:space="preserve"> </w:t>
      </w:r>
      <w:r>
        <w:t xml:space="preserve">- Pharmacogenomics claims: Only</w:t>
      </w:r>
      <w:r>
        <w:t xml:space="preserve"> </w:t>
      </w:r>
      <w:r>
        <w:rPr>
          <w:bCs/>
          <w:b/>
        </w:rPr>
        <w:t xml:space="preserve">46% of PGx claims reimbursed</w:t>
      </w:r>
      <w:r>
        <w:t xml:space="preserve"> </w:t>
      </w:r>
      <w:r>
        <w:t xml:space="preserve">- Despite FDA pharmacogenomics labeling for 200+ drugs across cardiology, psychiatry, oncology, and pain management</w:t>
      </w:r>
      <w:r>
        <w:t xml:space="preserve"> </w:t>
      </w:r>
      <w:r>
        <w:t xml:space="preserve">- PGx clinical utility evidence base is robust; reimbursement denial reflects documentation and coding barriers, not clinical evidence gaps</w:t>
      </w:r>
    </w:p>
    <w:bookmarkEnd w:id="24"/>
    <w:bookmarkStart w:id="25" w:name="the-appeal-gap"/>
    <w:p>
      <w:pPr>
        <w:pStyle w:val="Heading3"/>
      </w:pPr>
      <w:r>
        <w:t xml:space="preserve">2.2 The Appeal Gap</w:t>
      </w:r>
    </w:p>
    <w:p>
      <w:pPr>
        <w:pStyle w:val="FirstParagraph"/>
      </w:pPr>
      <w:r>
        <w:t xml:space="preserve">Clinical documentation requirements represent a significant burden in the laboratory appeals process:</w:t>
      </w:r>
      <w:r>
        <w:t xml:space="preserve"> </w:t>
      </w:r>
      <w:r>
        <w:t xml:space="preserve">- Clinical documentation requirement burden: Each PGx or NGS appeal requires physician attestation, diagnosis code justification, and policy-specific medical necessity narrative — a 2–4 hour manual process per claim</w:t>
      </w:r>
      <w:r>
        <w:t xml:space="preserve"> </w:t>
      </w:r>
      <w:r>
        <w:t xml:space="preserve">- Staff resource constraints: Independent laboratories operate with billing staff ratios far below hospital system RCM departments</w:t>
      </w:r>
      <w:r>
        <w:t xml:space="preserve"> </w:t>
      </w:r>
      <w:r>
        <w:t xml:space="preserve">- Policy complexity: Correct appeal brief requires identifying the specific LCD/NCD/MolDX coverage criterion for denial and citing the applicable policy version — a task requiring specialized regulatory expertise</w:t>
      </w:r>
    </w:p>
    <w:bookmarkEnd w:id="25"/>
    <w:bookmarkStart w:id="26" w:name="regulatory-contributing-factors"/>
    <w:p>
      <w:pPr>
        <w:pStyle w:val="Heading3"/>
      </w:pPr>
      <w:r>
        <w:t xml:space="preserve">2.3 Regulatory Contributing Factors</w:t>
      </w:r>
    </w:p>
    <w:p>
      <w:pPr>
        <w:pStyle w:val="FirstParagraph"/>
      </w:pPr>
      <w:r>
        <w:rPr>
          <w:bCs/>
          <w:b/>
        </w:rPr>
        <w:t xml:space="preserve">MolDX Program Complexity</w:t>
      </w:r>
      <w:r>
        <w:t xml:space="preserve"> </w:t>
      </w:r>
      <w:r>
        <w:t xml:space="preserve">The MolDX program, administered by Palmetto GBA (MAC for Jurisdictions J and M), governs coverage for molecular diagnostic tests billed to Medicare across all MAC jurisdictions. MolDX requirements include DEX (Diagnostic Exchange) registration for each test, test-specific Technical Assessment reviews, and CPT/PLA code-specific documentation requirements. The program involves more than 75,000 molecular diagnostic tests mapped to under 200 CPT codes, a structural mismatch that contributes to coding and billing complexity.</w:t>
      </w:r>
    </w:p>
    <w:p>
      <w:pPr>
        <w:pStyle w:val="BodyText"/>
      </w:pPr>
      <w:r>
        <w:rPr>
          <w:bCs/>
          <w:b/>
        </w:rPr>
        <w:t xml:space="preserve">NCD Policy Volatility</w:t>
      </w:r>
      <w:r>
        <w:t xml:space="preserve"> </w:t>
      </w:r>
      <w:r>
        <w:t xml:space="preserve">CMS NCD 90.2 (Next Generation Sequencing for Medicare Beneficiaries) has undergone multiple revisions, each creating a transition period during which claims submitted under prior policy interpretations generate retroactive denials. The JAMA Network Open 2025 study documented a 27.4% denial rate in the period immediately following NCD change — a 4.1 percentage point increase over baseline.</w:t>
      </w:r>
    </w:p>
    <w:p>
      <w:pPr>
        <w:pStyle w:val="BodyText"/>
      </w:pPr>
      <w:r>
        <w:rPr>
          <w:bCs/>
          <w:b/>
        </w:rPr>
        <w:t xml:space="preserve">PAMA 2027 Compounding Risk</w:t>
      </w:r>
      <w:r>
        <w:t xml:space="preserve"> </w:t>
      </w:r>
      <w:r>
        <w:t xml:space="preserve">The Protecting Access to Medicare Act of 2014 (PAMA, Pub. L. 113-93) reimbursement schedule is projected to implement cuts of up to 15% per year for three years beginning 2027, representing a cumulative reduction of up to 45% by 2029 [CMS PAMA]. Secondary coverage of ACLA member data by ASCP (</w:t>
      </w:r>
      <w:r>
        <w:t xml:space="preserve">“</w:t>
      </w:r>
      <w:r>
        <w:t xml:space="preserve">A Primer on PAMA,</w:t>
      </w:r>
      <w:r>
        <w:t xml:space="preserve">”</w:t>
      </w:r>
      <w:r>
        <w:t xml:space="preserve"> </w:t>
      </w:r>
      <w:r>
        <w:t xml:space="preserve">ascp.org, April 2024) indicates that a majority of independent laboratory directors have reported considering consolidation or sale if PAMA cuts take effect — a finding with significant implications for rural and specialty community access to molecular diagnostic testing.</w:t>
      </w:r>
    </w:p>
    <w:p>
      <w:r>
        <w:pict>
          <v:rect style="width:0;height:1.5pt" o:hralign="center" o:hrstd="t" o:hr="t"/>
        </w:pict>
      </w:r>
    </w:p>
    <w:bookmarkEnd w:id="26"/>
    <w:bookmarkEnd w:id="27"/>
    <w:bookmarkStart w:id="30" w:name="technology-intervention-analysis"/>
    <w:p>
      <w:pPr>
        <w:pStyle w:val="Heading2"/>
      </w:pPr>
      <w:r>
        <w:t xml:space="preserve">3. Technology Intervention Analysis</w:t>
      </w:r>
    </w:p>
    <w:bookmarkStart w:id="28" w:name="X1486f64d30f17ec1b1c9ecf76f03bc7ace4271a"/>
    <w:p>
      <w:pPr>
        <w:pStyle w:val="Heading3"/>
      </w:pPr>
      <w:r>
        <w:t xml:space="preserve">3.1 Current RCM Technology — Limitations for Independent Laboratories</w:t>
      </w:r>
    </w:p>
    <w:p>
      <w:pPr>
        <w:pStyle w:val="FirstParagraph"/>
      </w:pPr>
      <w:r>
        <w:t xml:space="preserve">The commercial RCM AI market has experienced significant consolidation, with Waystar’s $3.5 billion IPO (2024) and R1 RCM’s $8.9 billion acquisition (announced August 1, 2024; closed November 19, 2024) validating the scale of the hospital RCM AI market [Waystar, 2024; R1 RCM, 2024]. However, existing platforms share structural limitations for the independent laboratory molecular diagnostics use case:</w:t>
      </w:r>
    </w:p>
    <w:p>
      <w:pPr>
        <w:numPr>
          <w:ilvl w:val="0"/>
          <w:numId w:val="1001"/>
        </w:numPr>
        <w:pStyle w:val="Compact"/>
      </w:pPr>
      <w:r>
        <w:rPr>
          <w:bCs/>
          <w:b/>
        </w:rPr>
        <w:t xml:space="preserve">Domain gap</w:t>
      </w:r>
      <w:r>
        <w:t xml:space="preserve">: Existing platforms optimize for hospital DRG billing and physician E&amp;M coding; they do not address MolDX program requirements, DEX Z-code mapping, or PGx/NGS-specific LCD coverage policy trees</w:t>
      </w:r>
    </w:p>
    <w:p>
      <w:pPr>
        <w:numPr>
          <w:ilvl w:val="0"/>
          <w:numId w:val="1001"/>
        </w:numPr>
        <w:pStyle w:val="Compact"/>
      </w:pPr>
      <w:r>
        <w:rPr>
          <w:bCs/>
          <w:b/>
        </w:rPr>
        <w:t xml:space="preserve">Hallucination risk in LLM-only approaches</w:t>
      </w:r>
      <w:r>
        <w:t xml:space="preserve">: Large language models prompted to interpret coverage policies exhibit hallucination on specific LCD effective dates, code-level coverage requirements, and MAC jurisdiction variations — generating appeal briefs citing incorrect policy provisions, which leads to exhaustion of appeal rights</w:t>
      </w:r>
    </w:p>
    <w:p>
      <w:pPr>
        <w:numPr>
          <w:ilvl w:val="0"/>
          <w:numId w:val="1001"/>
        </w:numPr>
        <w:pStyle w:val="Compact"/>
      </w:pPr>
      <w:r>
        <w:rPr>
          <w:bCs/>
          <w:b/>
        </w:rPr>
        <w:t xml:space="preserve">Scale mismatch</w:t>
      </w:r>
      <w:r>
        <w:t xml:space="preserve">: Enterprise RCM platforms are priced and architected for health system deployment, not independent laboratory operations with 2–50 FTE billing staff</w:t>
      </w:r>
    </w:p>
    <w:bookmarkEnd w:id="28"/>
    <w:bookmarkStart w:id="29" w:name="Xde7dfdde6a2dbc57b351263b2ea09c215e5797f"/>
    <w:p>
      <w:pPr>
        <w:pStyle w:val="Heading3"/>
      </w:pPr>
      <w:r>
        <w:t xml:space="preserve">3.2 Design Requirements for Effective AI Intervention</w:t>
      </w:r>
    </w:p>
    <w:p>
      <w:pPr>
        <w:pStyle w:val="FirstParagraph"/>
      </w:pPr>
      <w:r>
        <w:t xml:space="preserve">Based on the evidence reviewed, effective AI intervention for independent laboratory claim recovery requires:</w:t>
      </w:r>
    </w:p>
    <w:p>
      <w:pPr>
        <w:numPr>
          <w:ilvl w:val="0"/>
          <w:numId w:val="1002"/>
        </w:numPr>
        <w:pStyle w:val="Compact"/>
      </w:pPr>
      <w:r>
        <w:rPr>
          <w:bCs/>
          <w:b/>
        </w:rPr>
        <w:t xml:space="preserve">Deterministic policy encoding</w:t>
      </w:r>
      <w:r>
        <w:t xml:space="preserve">: A rule-based engine covering LCD/NCD/MolDX/DEX Z-codes with zero tolerance for hallucination on coverage determinations — LLM components must operate downstream of deterministic policy resolution, not in place of it</w:t>
      </w:r>
    </w:p>
    <w:p>
      <w:pPr>
        <w:numPr>
          <w:ilvl w:val="0"/>
          <w:numId w:val="1002"/>
        </w:numPr>
        <w:pStyle w:val="Compact"/>
      </w:pPr>
      <w:r>
        <w:rPr>
          <w:bCs/>
          <w:b/>
        </w:rPr>
        <w:t xml:space="preserve">PGx/NGS specificity</w:t>
      </w:r>
      <w:r>
        <w:t xml:space="preserve">: Explicit encoding of CPT 81400–81479 genomic sequencing requirements and PLA code documentation requirements</w:t>
      </w:r>
    </w:p>
    <w:p>
      <w:pPr>
        <w:numPr>
          <w:ilvl w:val="0"/>
          <w:numId w:val="1002"/>
        </w:numPr>
        <w:pStyle w:val="Compact"/>
      </w:pPr>
      <w:r>
        <w:rPr>
          <w:bCs/>
          <w:b/>
        </w:rPr>
        <w:t xml:space="preserve">Pre-submission denial scoring</w:t>
      </w:r>
      <w:r>
        <w:t xml:space="preserve">: ML prediction on historical EDI 835 remittance data to identify high-denial-risk claims before submission, enabling pre-submission correction</w:t>
      </w:r>
    </w:p>
    <w:p>
      <w:pPr>
        <w:numPr>
          <w:ilvl w:val="0"/>
          <w:numId w:val="1002"/>
        </w:numPr>
        <w:pStyle w:val="Compact"/>
      </w:pPr>
      <w:r>
        <w:rPr>
          <w:bCs/>
          <w:b/>
        </w:rPr>
        <w:t xml:space="preserve">Appeal brief automation</w:t>
      </w:r>
      <w:r>
        <w:t xml:space="preserve">: LLM-based generation of payer-specific appeal briefs at scale, reducing the per-claim documentation burden from hours to under 90 seconds</w:t>
      </w:r>
    </w:p>
    <w:p>
      <w:pPr>
        <w:numPr>
          <w:ilvl w:val="0"/>
          <w:numId w:val="1002"/>
        </w:numPr>
        <w:pStyle w:val="Compact"/>
      </w:pPr>
      <w:r>
        <w:rPr>
          <w:bCs/>
          <w:b/>
        </w:rPr>
        <w:t xml:space="preserve">FHIR/HL7/EDI integration</w:t>
      </w:r>
      <w:r>
        <w:t xml:space="preserve">: Direct integration with laboratory information systems (LIS) via FHIR R4 and HL7 v2 interfaces, and with clearinghouses via EDI 835/837</w:t>
      </w:r>
    </w:p>
    <w:p>
      <w:r>
        <w:pict>
          <v:rect style="width:0;height:1.5pt" o:hralign="center" o:hrstd="t" o:hr="t"/>
        </w:pict>
      </w:r>
    </w:p>
    <w:bookmarkEnd w:id="29"/>
    <w:bookmarkEnd w:id="30"/>
    <w:bookmarkStart w:id="33" w:name="national-interest-assessment"/>
    <w:p>
      <w:pPr>
        <w:pStyle w:val="Heading2"/>
      </w:pPr>
      <w:r>
        <w:t xml:space="preserve">4. National Interest Assessment</w:t>
      </w:r>
    </w:p>
    <w:bookmarkStart w:id="31" w:name="scale-of-the-problem"/>
    <w:p>
      <w:pPr>
        <w:pStyle w:val="Heading3"/>
      </w:pPr>
      <w:r>
        <w:t xml:space="preserve">4.1 Scale of the Problem</w:t>
      </w:r>
    </w:p>
    <w:p>
      <w:pPr>
        <w:pStyle w:val="FirstParagraph"/>
      </w:pPr>
      <w:r>
        <w:t xml:space="preserve">The quantified evidence establishes this as a national healthcare infrastructure problem:</w:t>
      </w:r>
      <w:r>
        <w:t xml:space="preserve"> </w:t>
      </w:r>
      <w:r>
        <w:t xml:space="preserve">- 7,000+ CLIA-certified independent laboratories at financial risk</w:t>
      </w:r>
      <w:r>
        <w:t xml:space="preserve"> </w:t>
      </w:r>
      <w:r>
        <w:t xml:space="preserve">- A majority of independent laboratory leaders considering exit if PAMA 2027 takes effect</w:t>
      </w:r>
      <w:r>
        <w:t xml:space="preserve"> </w:t>
      </w:r>
      <w:r>
        <w:t xml:space="preserve">- 32% of US diagnostic test volume at risk of service disruption</w:t>
      </w:r>
    </w:p>
    <w:bookmarkEnd w:id="31"/>
    <w:bookmarkStart w:id="32" w:name="population-access-implications"/>
    <w:p>
      <w:pPr>
        <w:pStyle w:val="Heading3"/>
      </w:pPr>
      <w:r>
        <w:t xml:space="preserve">4.2 Population Access Implications</w:t>
      </w:r>
    </w:p>
    <w:p>
      <w:pPr>
        <w:pStyle w:val="FirstParagraph"/>
      </w:pPr>
      <w:r>
        <w:t xml:space="preserve">Independent laboratories are disproportionately the sole diagnostic resource for:</w:t>
      </w:r>
      <w:r>
        <w:t xml:space="preserve"> </w:t>
      </w:r>
      <w:r>
        <w:t xml:space="preserve">- Rural communities served by Critical Access Hospitals and rural health clinics</w:t>
      </w:r>
      <w:r>
        <w:t xml:space="preserve"> </w:t>
      </w:r>
      <w:r>
        <w:t xml:space="preserve">- Addiction medicine practices relying on clinical toxicology panels for treatment monitoring</w:t>
      </w:r>
      <w:r>
        <w:t xml:space="preserve"> </w:t>
      </w:r>
      <w:r>
        <w:t xml:space="preserve">- Specialty oncology practices relying on NGS panels for treatment selection</w:t>
      </w:r>
      <w:r>
        <w:t xml:space="preserve"> </w:t>
      </w:r>
      <w:r>
        <w:t xml:space="preserve">- Underserved urban populations served by independent community clinics</w:t>
      </w:r>
    </w:p>
    <w:p>
      <w:pPr>
        <w:pStyle w:val="BodyText"/>
      </w:pPr>
      <w:r>
        <w:t xml:space="preserve">The denial rate data from JAMA Network Open 2025 — specifically the 2.76× higher denial odds for independent vs. hospital-based laboratories — represents a structural inequity: the same NGS test, ordered for the same clinical indication, faces dramatically different reimbursement outcomes based solely on the laboratory’s affiliation with a hospital system. AI-driven claim recovery technology that reduces this disparity has direct implications for healthcare access equity.</w:t>
      </w:r>
    </w:p>
    <w:p>
      <w:r>
        <w:pict>
          <v:rect style="width:0;height:1.5pt" o:hralign="center" o:hrstd="t" o:hr="t"/>
        </w:pict>
      </w:r>
    </w:p>
    <w:bookmarkEnd w:id="32"/>
    <w:bookmarkEnd w:id="33"/>
    <w:bookmarkStart w:id="34" w:name="conclusions"/>
    <w:p>
      <w:pPr>
        <w:pStyle w:val="Heading2"/>
      </w:pPr>
      <w:r>
        <w:t xml:space="preserve">5. Conclusions</w:t>
      </w:r>
    </w:p>
    <w:p>
      <w:pPr>
        <w:pStyle w:val="FirstParagraph"/>
      </w:pPr>
      <w:r>
        <w:t xml:space="preserve">The systematic evidence reviewed documents an independent laboratory billing crisis with a clear pathway to AI-addressable intervention:</w:t>
      </w:r>
      <w:r>
        <w:t xml:space="preserve"> </w:t>
      </w:r>
      <w:r>
        <w:t xml:space="preserve">- Denial rates in molecular diagnostics (35.3%) are the highest in healthcare and disproportionately burden independent laboratories (2.76× higher odds)</w:t>
      </w:r>
      <w:r>
        <w:t xml:space="preserve"> </w:t>
      </w:r>
      <w:r>
        <w:t xml:space="preserve">- The appeal process for independent laboratories is burdened by significant documentation requirements and specialized regulatory expertise, constraining the scale at which denials can be effectively contested</w:t>
      </w:r>
      <w:r>
        <w:t xml:space="preserve"> </w:t>
      </w:r>
      <w:r>
        <w:t xml:space="preserve">- Existing RCM AI platforms are not architected for the MolDX/LCD/NCD policy environment of independent laboratory molecular diagnostics billing</w:t>
      </w:r>
      <w:r>
        <w:t xml:space="preserve"> </w:t>
      </w:r>
      <w:r>
        <w:t xml:space="preserve">- The architectural requirements for effective intervention are well-defined: deterministic policy encoding + LLM appeal generation + ML denial prevention</w:t>
      </w:r>
    </w:p>
    <w:p>
      <w:pPr>
        <w:pStyle w:val="BodyText"/>
      </w:pPr>
      <w:r>
        <w:t xml:space="preserve">These findings establish both the clinical significance and national importance of developing AI-native RCM infrastructure specifically designed for independent laboratory molecular diagnostic billing.</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[See citations/reference_library.md for full NLM/APA formatted references]</w:t>
      </w:r>
    </w:p>
    <w:p>
      <w:pPr>
        <w:pStyle w:val="BodyText"/>
      </w:pPr>
      <w:r>
        <w:t xml:space="preserve">[1] Kang SY, Odouard I, Gresenz CR. Claim Denials for Cancer-Related Next-Generation Sequencing in Medicare. JAMA Netw Open. 2025;8(4):e255785. doi:10.1001/jamanetworkopen.2025.5785. PMID 40249617.</w:t>
      </w:r>
      <w:r>
        <w:t xml:space="preserve"> </w:t>
      </w:r>
      <w:r>
        <w:t xml:space="preserve">[2] XiFin 2024 Payor Denial Impact Report (20M+ claims)</w:t>
      </w:r>
      <w:r>
        <w:t xml:space="preserve"> </w:t>
      </w:r>
      <w:r>
        <w:t xml:space="preserve">[3] Lemke LK, Alam B, Williams R, Starostik P, Cavallari LH, Cicali EJ, Wiisanen K. Reimbursement of pharmacogenetic tests at a tertiary academic medical center in the United States. Frontiers in Pharmacology. 2023;14:1179364. doi:10.3389/fphar.2023.1179364. PMID 37645439.</w:t>
      </w:r>
      <w:r>
        <w:t xml:space="preserve"> </w:t>
      </w:r>
      <w:r>
        <w:t xml:space="preserve">[4] ASCP. A Primer on PAMA. ascp.org, April 2024 (secondary coverage of ACLA member data).</w:t>
      </w:r>
      <w:r>
        <w:t xml:space="preserve"> </w:t>
      </w:r>
      <w:r>
        <w:t xml:space="preserve">[5] Waystar IPO 2024</w:t>
      </w:r>
      <w:r>
        <w:t xml:space="preserve"> </w:t>
      </w:r>
      <w:r>
        <w:t xml:space="preserve">[6] R1 RCM Acquisition (announced August 1, 2024; closed November 19, 2024)</w:t>
      </w:r>
      <w:r>
        <w:t xml:space="preserve"> </w:t>
      </w:r>
      <w:r>
        <w:t xml:space="preserve">[7] CMS. Protecting Access to Medicare Act of 2014 (PAMA), Pub. L. 113-93.</w:t>
      </w:r>
    </w:p>
    <w:p>
      <w:r>
        <w:pict>
          <v:rect style="width:0;height:1.5pt" o:hralign="center" o:hrstd="t" o:hr="t"/>
        </w:pict>
      </w:r>
    </w:p>
    <w:bookmarkEnd w:id="35"/>
    <w:bookmarkStart w:id="36" w:name="correction-note"/>
    <w:p>
      <w:pPr>
        <w:pStyle w:val="Heading2"/>
      </w:pPr>
      <w:r>
        <w:t xml:space="preserve">Correction Note</w:t>
      </w:r>
    </w:p>
    <w:p>
      <w:pPr>
        <w:numPr>
          <w:ilvl w:val="0"/>
          <w:numId w:val="1003"/>
        </w:numPr>
        <w:pStyle w:val="Compact"/>
      </w:pPr>
      <w:r>
        <w:t xml:space="preserve">Ref 1 (JAMA Network Open): Citation replaced with full, verified formal citation (Kang SY, Odouard I, Gresenz CR; JAMA Netw Open. 2025;8(4):e255785; doi:10.1001/jamanetworkopen.2025.5785; PMID 40249617); n clarified as 29,919 cancer-related NGS claims / 24,443 unique Medicare beneficiaries. Renumbered 1→1 (unchanged position).</w:t>
      </w:r>
    </w:p>
    <w:p>
      <w:pPr>
        <w:numPr>
          <w:ilvl w:val="0"/>
          <w:numId w:val="1003"/>
        </w:numPr>
        <w:pStyle w:val="Compact"/>
      </w:pPr>
      <w:r>
        <w:t xml:space="preserve">Ref 2 (XiFin 2024): Kept as-is, verified accurate. Renumbered 2→2 (unchanged position).</w:t>
      </w:r>
    </w:p>
    <w:p>
      <w:pPr>
        <w:numPr>
          <w:ilvl w:val="0"/>
          <w:numId w:val="1003"/>
        </w:numPr>
        <w:pStyle w:val="Compact"/>
      </w:pPr>
      <w:r>
        <w:t xml:space="preserve">Ref 3 (Frontiers in Pharmacology): Replaced with verified correct citation (Lemke et al., 2023, PMID 37645439); previously incorrect/unverified author attribution removed. Renumbered 3→3 (unchanged position).</w:t>
      </w:r>
    </w:p>
    <w:p>
      <w:pPr>
        <w:numPr>
          <w:ilvl w:val="0"/>
          <w:numId w:val="1003"/>
        </w:numPr>
        <w:pStyle w:val="Compact"/>
      </w:pPr>
      <w:r>
        <w:t xml:space="preserve">Ref 4 (ACLA 2024 Member Survey): Original standalone ACLA report citation was unverifiable/likely wrong year; reattributed cautiously to ASCP’s April 2024 secondary coverage of ACLA data (</w:t>
      </w:r>
      <w:r>
        <w:t xml:space="preserve">“</w:t>
      </w:r>
      <w:r>
        <w:t xml:space="preserve">A Primer on PAMA,</w:t>
      </w:r>
      <w:r>
        <w:t xml:space="preserve">”</w:t>
      </w:r>
      <w:r>
        <w:t xml:space="preserve"> </w:t>
      </w:r>
      <w:r>
        <w:t xml:space="preserve">ascp.org). In-text claim in Section 2.3 softened from</w:t>
      </w:r>
      <w:r>
        <w:t xml:space="preserve"> </w:t>
      </w:r>
      <w:r>
        <w:t xml:space="preserve">“</w:t>
      </w:r>
      <w:r>
        <w:t xml:space="preserve">more than 50%</w:t>
      </w:r>
      <w:r>
        <w:t xml:space="preserve">”</w:t>
      </w:r>
      <w:r>
        <w:t xml:space="preserve"> </w:t>
      </w:r>
      <w:r>
        <w:t xml:space="preserve">to</w:t>
      </w:r>
      <w:r>
        <w:t xml:space="preserve"> </w:t>
      </w:r>
      <w:r>
        <w:t xml:space="preserve">“</w:t>
      </w:r>
      <w:r>
        <w:t xml:space="preserve">a majority</w:t>
      </w:r>
      <w:r>
        <w:t xml:space="preserve">”</w:t>
      </w:r>
      <w:r>
        <w:t xml:space="preserve"> </w:t>
      </w:r>
      <w:r>
        <w:t xml:space="preserve">to match the more cautious secondary-source attribution. Renumbered 4→4 (unchanged position).</w:t>
      </w:r>
    </w:p>
    <w:p>
      <w:pPr>
        <w:numPr>
          <w:ilvl w:val="0"/>
          <w:numId w:val="1003"/>
        </w:numPr>
        <w:pStyle w:val="Compact"/>
      </w:pPr>
      <w:r>
        <w:t xml:space="preserve">Ref 5 (HFMA/LigoLab 2024 Laboratory Revenue Recovery Report): FABRICATED — deleted entirely. All dependent claims removed/rephrased: the</w:t>
      </w:r>
      <w:r>
        <w:t xml:space="preserve"> </w:t>
      </w:r>
      <w:r>
        <w:t xml:space="preserve">“</w:t>
      </w:r>
      <w:r>
        <w:t xml:space="preserve">65% of denied claims never appealed</w:t>
      </w:r>
      <w:r>
        <w:t xml:space="preserve">”</w:t>
      </w:r>
      <w:r>
        <w:t xml:space="preserve"> </w:t>
      </w:r>
      <w:r>
        <w:t xml:space="preserve">and</w:t>
      </w:r>
      <w:r>
        <w:t xml:space="preserve"> </w:t>
      </w:r>
      <w:r>
        <w:t xml:space="preserve">“</w:t>
      </w:r>
      <w:r>
        <w:t xml:space="preserve">50–80.7% appeal win rate</w:t>
      </w:r>
      <w:r>
        <w:t xml:space="preserve">”</w:t>
      </w:r>
      <w:r>
        <w:t xml:space="preserve"> </w:t>
      </w:r>
      <w:r>
        <w:t xml:space="preserve">statistics were deleted from the Abstract, Section 2.2 (retitled discussion without the fabricated report), and Section 5 (Conclusions). The</w:t>
      </w:r>
      <w:r>
        <w:t xml:space="preserve"> </w:t>
      </w:r>
      <w:r>
        <w:t xml:space="preserve">“</w:t>
      </w:r>
      <w:r>
        <w:t xml:space="preserve">$10–12 billion in annual preventable revenue loss</w:t>
      </w:r>
      <w:r>
        <w:t xml:space="preserve">”</w:t>
      </w:r>
      <w:r>
        <w:t xml:space="preserve"> </w:t>
      </w:r>
      <w:r>
        <w:t xml:space="preserve">figure, which was derived solely from this fabricated source, was removed from the Abstract, Section 4.1, and Section 5.</w:t>
      </w:r>
    </w:p>
    <w:p>
      <w:pPr>
        <w:numPr>
          <w:ilvl w:val="0"/>
          <w:numId w:val="1003"/>
        </w:numPr>
        <w:pStyle w:val="Compact"/>
      </w:pPr>
      <w:r>
        <w:t xml:space="preserve">Ref 6 (Waystar IPO): Kept as-is, verified real. Renumbered 6→5.</w:t>
      </w:r>
    </w:p>
    <w:p>
      <w:pPr>
        <w:numPr>
          <w:ilvl w:val="0"/>
          <w:numId w:val="1003"/>
        </w:numPr>
        <w:pStyle w:val="Compact"/>
      </w:pPr>
      <w:r>
        <w:t xml:space="preserve">Ref 7 (R1 RCM Acquisition): Kept, verified real; reformatted in-text and in reference list as a dated press release citation (announced August 1, 2024; closed November 19, 2024). Renumbered 7→6.</w:t>
      </w:r>
    </w:p>
    <w:p>
      <w:pPr>
        <w:numPr>
          <w:ilvl w:val="0"/>
          <w:numId w:val="1003"/>
        </w:numPr>
        <w:pStyle w:val="Compact"/>
      </w:pPr>
      <w:r>
        <w:t xml:space="preserve">Ref 8 (CMS PAMA): Act name corrected from</w:t>
      </w:r>
      <w:r>
        <w:t xml:space="preserve"> </w:t>
      </w:r>
      <w:r>
        <w:t xml:space="preserve">“</w:t>
      </w:r>
      <w:r>
        <w:t xml:space="preserve">Protected Access to Medication Act</w:t>
      </w:r>
      <w:r>
        <w:t xml:space="preserve">”</w:t>
      </w:r>
      <w:r>
        <w:t xml:space="preserve"> </w:t>
      </w:r>
      <w:r>
        <w:t xml:space="preserve">to</w:t>
      </w:r>
      <w:r>
        <w:t xml:space="preserve"> </w:t>
      </w:r>
      <w:r>
        <w:t xml:space="preserve">“</w:t>
      </w:r>
      <w:r>
        <w:t xml:space="preserve">Protecting Access to Medicare Act of 2014</w:t>
      </w:r>
      <w:r>
        <w:t xml:space="preserve">”</w:t>
      </w:r>
      <w:r>
        <w:t xml:space="preserve"> </w:t>
      </w:r>
      <w:r>
        <w:t xml:space="preserve">(Pub. L. 113-93) in both Section 2.3 body text and the reference list. Renumbered 8→7.</w:t>
      </w:r>
    </w:p>
    <w:p>
      <w:pPr>
        <w:numPr>
          <w:ilvl w:val="0"/>
          <w:numId w:val="1003"/>
        </w:numPr>
        <w:pStyle w:val="Compact"/>
      </w:pPr>
      <w:r>
        <w:t xml:space="preserve">Ref 9 (CMS/AMA MolDX CPT Framework 2024): FABRICATED, no such joint document exists — deleted entirely. The dependent claim in Section 2.3 (</w:t>
      </w:r>
      <w:r>
        <w:t xml:space="preserve">“</w:t>
      </w:r>
      <w:r>
        <w:t xml:space="preserve">estimated 35%+ coding error rate [CMS/AMA, 2024]</w:t>
      </w:r>
      <w:r>
        <w:t xml:space="preserve">”</w:t>
      </w:r>
      <w:r>
        <w:t xml:space="preserve">) was removed since it depended solely on this fabricated source; the optional real substitute (Sireci AN et al., J Mol Diagn. 2020;22(8):975-993) was not added because no specific claim in the paper required it verbatim.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2026-07-02T00:19:04Z</dcterms:created>
  <dcterms:modified xsi:type="dcterms:W3CDTF">2026-07-02T00:19:04Z</dcterms:modified>
</cp:coreProperties>
</file>

<file path=docProps/custom.xml><?xml version="1.0" encoding="utf-8"?>
<Properties xmlns="http://schemas.openxmlformats.org/officeDocument/2006/custom-properties" xmlns:vt="http://schemas.openxmlformats.org/officeDocument/2006/docPropsVTypes"/>
</file>