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a0d942f168765d3042412667e1ccc636339d414"/>
    <w:p>
      <w:pPr>
        <w:pStyle w:val="Heading1"/>
      </w:pPr>
      <w:r>
        <w:t xml:space="preserve">Artificial Intelligence Solutions for Independent Clinical Laboratory Financial Resilience Under 2027 PAMA Medicare Reimbursement Reductions</w:t>
      </w:r>
    </w:p>
    <w:p>
      <w:pPr>
        <w:pStyle w:val="FirstParagraph"/>
      </w:pPr>
      <w:r>
        <w:rPr>
          <w:bCs/>
          <w:b/>
        </w:rPr>
        <w:t xml:space="preserve">Authors:</w:t>
      </w:r>
      <w:r>
        <w:t xml:space="preserve"> </w:t>
      </w:r>
      <w:r>
        <w:t xml:space="preserve">Rambabu Vadlamudi¹, Manasa Jampani¹</w:t>
      </w:r>
    </w:p>
    <w:p>
      <w:pPr>
        <w:pStyle w:val="BodyText"/>
      </w:pPr>
      <w:r>
        <w:rPr>
          <w:bCs/>
          <w:b/>
        </w:rPr>
        <w:t xml:space="preserve">Affiliation:</w:t>
      </w:r>
      <w:r>
        <w:t xml:space="preserve"> </w:t>
      </w:r>
      <w:r>
        <w:t xml:space="preserve">¹Ardia Health Labs, Argyle, TX</w:t>
      </w:r>
    </w:p>
    <w:p>
      <w:pPr>
        <w:pStyle w:val="BodyText"/>
      </w:pPr>
      <w:r>
        <w:rPr>
          <w:bCs/>
          <w:b/>
        </w:rPr>
        <w:t xml:space="preserve">Target Venues:</w:t>
      </w:r>
      <w:r>
        <w:t xml:space="preserve"> </w:t>
      </w:r>
      <w:r>
        <w:t xml:space="preserve">arXiv (q-bio.QM / cs.AI) →</w:t>
      </w:r>
      <w:r>
        <w:t xml:space="preserve"> </w:t>
      </w:r>
      <w:r>
        <w:rPr>
          <w:iCs/>
          <w:i/>
        </w:rPr>
        <w:t xml:space="preserve">Health Affairs</w:t>
      </w:r>
    </w:p>
    <w:p>
      <w:r>
        <w:pict>
          <v:rect style="width:0;height:1.5pt" o:hralign="center" o:hrstd="t" o:hr="t"/>
        </w:pict>
      </w:r>
    </w:p>
    <w:bookmarkStart w:id="20" w:name="abstract-structured"/>
    <w:p>
      <w:pPr>
        <w:pStyle w:val="Heading2"/>
      </w:pPr>
      <w:r>
        <w:t xml:space="preserve">Abstract (Structured)</w:t>
      </w:r>
    </w:p>
    <w:p>
      <w:pPr>
        <w:pStyle w:val="FirstParagraph"/>
      </w:pPr>
      <w:r>
        <w:rPr>
          <w:bCs/>
          <w:b/>
        </w:rPr>
        <w:t xml:space="preserve">Background:</w:t>
      </w:r>
      <w:r>
        <w:t xml:space="preserve"> </w:t>
      </w:r>
      <w:r>
        <w:t xml:space="preserve">The Protecting Access to Medicare Act (PAMA) of 2014 established market-based pricing for Medicare clinical laboratory tests. Successive implementation cycles have reduced reimbursements substantially, with the 2027 PAMA cycle projected to impose cumulative cuts of up to 45% from baseline rates by 2029. Independent clinical laboratories face disproportionate financial exposure because their payer mix skews heavily toward Medicare, and because denial rates for molecular diagnostic codes run as high as 35.3%—compounding revenue pressure beyond scheduled rate decreases alone.</w:t>
      </w:r>
    </w:p>
    <w:p>
      <w:pPr>
        <w:pStyle w:val="BodyText"/>
      </w:pPr>
      <w:r>
        <w:rPr>
          <w:bCs/>
          <w:b/>
        </w:rPr>
        <w:t xml:space="preserve">Objective:</w:t>
      </w:r>
      <w:r>
        <w:t xml:space="preserve"> </w:t>
      </w:r>
      <w:r>
        <w:t xml:space="preserve">To describe and evaluate a three-layer Deterministic-Generative-Predictive (DGP) artificial intelligence framework designed to reduce claim denial rates, accelerate appeals resolution, and quantify the incremental revenue protection achievable through intelligent automation under PAMA 2027 reduction scenarios.</w:t>
      </w:r>
    </w:p>
    <w:p>
      <w:pPr>
        <w:pStyle w:val="BodyText"/>
      </w:pPr>
      <w:r>
        <w:rPr>
          <w:bCs/>
          <w:b/>
        </w:rPr>
        <w:t xml:space="preserve">Methods:</w:t>
      </w:r>
      <w:r>
        <w:t xml:space="preserve"> </w:t>
      </w:r>
      <w:r>
        <w:t xml:space="preserve">The DGP framework integrates (1) a 847-rule deterministic policy engine covering LCD, NCD, MolDX, DEX Z-codes, and CPT codes 81400–81479; (2) a generative clinical reasoning module powered by a large language model (Anthropic Claude API) capable of drafting appeal briefs in under 90 seconds while querying 14 medical knowledge databases in 340 milliseconds; and (3) a predictive denial prevention layer trained on historical EDI 835 transaction data to score pre-submission denial risk. Integration is implemented via FHIR R4 and HL7 v2 interfaces. The framework was evaluated retrospectively on a dataset of 29,919 laboratory claims with known adjudication outcomes.</w:t>
      </w:r>
    </w:p>
    <w:p>
      <w:pPr>
        <w:pStyle w:val="BodyText"/>
      </w:pPr>
      <w:r>
        <w:rPr>
          <w:bCs/>
          <w:b/>
        </w:rPr>
        <w:t xml:space="preserve">Results:</w:t>
      </w:r>
      <w:r>
        <w:t xml:space="preserve"> </w:t>
      </w:r>
      <w:r>
        <w:t xml:space="preserve">Applying the DGP framework reduced predicted denial rates from 35.3% to 8.1% for molecular diagnostic claims. The generative appeal module matched or exceeded the acceptance rate of manually drafted appeals in 78.4% of cases while reducing drafting time by 96.7%. Pre-submission risk scoring identified 91.2% of ultimately denied claims prior to submission, enabling corrective documentation. Under the 45% PAMA cut scenario, simulated revenue recovery from denial reduction offset an estimated 38.4% of projected Medicare revenue loss for a median-sized independent laboratory.</w:t>
      </w:r>
    </w:p>
    <w:p>
      <w:pPr>
        <w:pStyle w:val="BodyText"/>
      </w:pPr>
      <w:r>
        <w:rPr>
          <w:bCs/>
          <w:b/>
        </w:rPr>
        <w:t xml:space="preserve">Conclusions:</w:t>
      </w:r>
      <w:r>
        <w:t xml:space="preserve"> </w:t>
      </w:r>
      <w:r>
        <w:t xml:space="preserve">Artificial intelligence architectures that integrate rule-based compliance enforcement, large language model reasoning, and predictive analytics provide a measurable and technically tractable mechanism for independent clinical laboratories to preserve financial viability under escalating PAMA 2027 Medicare reimbursement reductions.</w:t>
      </w:r>
    </w:p>
    <w:p>
      <w:pPr>
        <w:pStyle w:val="BodyText"/>
      </w:pPr>
      <w:r>
        <w:rPr>
          <w:bCs/>
          <w:b/>
        </w:rPr>
        <w:t xml:space="preserve">Keywords:</w:t>
      </w:r>
      <w:r>
        <w:t xml:space="preserve"> </w:t>
      </w:r>
      <w:r>
        <w:t xml:space="preserve">artificial intelligence; PAMA Medicare reimbursement; independent clinical laboratory; machine learning; revenue cycle management; claim denial prediction; molecular diagnostics; healthcare policy</w:t>
      </w:r>
    </w:p>
    <w:p>
      <w:r>
        <w:pict>
          <v:rect style="width:0;height:1.5pt" o:hralign="center" o:hrstd="t" o:hr="t"/>
        </w:pict>
      </w:r>
    </w:p>
    <w:bookmarkEnd w:id="20"/>
    <w:bookmarkStart w:id="21" w:name="abstract-unstructured"/>
    <w:p>
      <w:pPr>
        <w:pStyle w:val="Heading2"/>
      </w:pPr>
      <w:r>
        <w:t xml:space="preserve">Abstract (Unstructured)</w:t>
      </w:r>
    </w:p>
    <w:p>
      <w:pPr>
        <w:pStyle w:val="FirstParagraph"/>
      </w:pPr>
      <w:r>
        <w:t xml:space="preserve">Independent clinical laboratories occupy a structurally precarious position in the United States healthcare system. They operate on narrow margins, serve Medicare-dependent patient populations, and face molecular diagnostic claim denial rates exceeding 35%—a figure nearly three times higher than the denial rates experienced by hospital-based laboratories. The Protecting Access to Medicare Act (PAMA) of 2014 introduced market-based reimbursement benchmarking for Medicare clinical laboratory tests, using private-payer rates as the pricing anchor. Because only approximately 6,000 of the 260,000 registered laboratories reported pricing data during the 2019 data collection window, the resulting benchmarks disproportionately reflected hospital outreach and large reference laboratory rates, systematically underpaying independent operators. Cumulative rate reductions projected through 2029 may reach 45% from 2017 baseline levels.</w:t>
      </w:r>
    </w:p>
    <w:p>
      <w:pPr>
        <w:pStyle w:val="BodyText"/>
      </w:pPr>
      <w:r>
        <w:t xml:space="preserve">This paper describes the Deterministic-Generative-Predictive (DGP) framework, an artificial intelligence architecture developed at Ardia Health Labs to address the revenue cycle vulnerabilities that amplify PAMA-driven financial pressure. The framework combines a deterministic policy engine enforcing 847 coverage determination rules, a generative large language model layer for appeal brief synthesis and clinical evidence retrieval, and a predictive machine learning layer for pre-submission denial risk scoring. We evaluate the framework’s performance on clinical laboratory claim data and model its revenue impact across a range of PAMA cut scenarios. The analysis demonstrates that intelligent automation targeting denial prevention and appeal efficiency represents a financially meaningful countermeasure to scheduled Medicare rate reductions, particularly for the independent laboratory segment most vulnerable to exit under current policy trajectories.</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The financial architecture of the independent clinical laboratory sector in the United States is under simultaneous pressure from two distinct but interacting mechanisms: scheduled Medicare reimbursement reductions mandated under the Protecting Access to Medicare Act (PAMA) of 2014, and a persistent, structurally elevated claim denial rate that removes revenue the laboratory would otherwise retain even at reduced rates. The convergence of these mechanisms has created conditions in which a substantial portion of the independent laboratory market faces negative operating margins by 2029 if no operational countermeasures are adopted.</w:t>
      </w:r>
    </w:p>
    <w:p>
      <w:pPr>
        <w:pStyle w:val="BodyText"/>
      </w:pPr>
      <w:r>
        <w:t xml:space="preserve">PAMA’s legislative intent was to align Medicare reimbursement for clinical laboratory tests with prevailing private-payer market rates. Congress directed the Centers for Medicare and Medicaid Services (CMS) to collect applicable information—defined as private-payer payment rates weighted by volume—and use those data to reset the Clinical Laboratory Fee Schedule (CLFS) on a triennial cycle [1]. The first data collection period in 2016 and the initial payment adjustments effective January 1, 2018, produced immediate reductions of up to 10% for many high-volume tests. Subsequent implementation cycles continued downward rate trajectories, with cuts applied to molecular diagnostic codes, hematology panels, and chemistry profiles alike. The 2027 implementation cycle, drawing on data collected in 2024 and 2025, is projected by CMS actuaries and independent health economics analyses to impose further reductions that, when compounded from the 2018 baseline, may reach 45% cumulative reduction by 2029 [2].</w:t>
      </w:r>
    </w:p>
    <w:p>
      <w:pPr>
        <w:pStyle w:val="BodyText"/>
      </w:pPr>
      <w:r>
        <w:t xml:space="preserve">The severity of that projection is not uniformly distributed. Hospital-based laboratories, which typically derive a minority of their revenues from Medicare and benefit from cost-shifting across inpatient facility charges, are materially less exposed than independent operators. Independent clinical laboratories—facilities that are neither hospital-affiliated nor physician office-based and that perform the majority of their testing on outpatient Medicare beneficiaries—face the combination of high Medicare revenue concentration and the full brunt of CLFS rate reductions without the facility-fee cross-subsidy available to competitors.</w:t>
      </w:r>
    </w:p>
    <w:p>
      <w:pPr>
        <w:pStyle w:val="BodyText"/>
      </w:pPr>
      <w:r>
        <w:t xml:space="preserve">The claim denial dimension compounds this exposure substantially. XiFin’s 2024 Payor Denial Impact Report, drawing on analysis of more than 20 million laboratory claims, documented a 35.3% denial rate for molecular diagnostic test claims—a category that encompasses the highest-complexity and highest-reimbursement codes on the CLFS [3]. A 2025 study published in</w:t>
      </w:r>
      <w:r>
        <w:t xml:space="preserve"> </w:t>
      </w:r>
      <w:r>
        <w:rPr>
          <w:iCs/>
          <w:i/>
        </w:rPr>
        <w:t xml:space="preserve">JAMA Network Open</w:t>
      </w:r>
      <w:r>
        <w:t xml:space="preserve"> </w:t>
      </w:r>
      <w:r>
        <w:t xml:space="preserve">by investigators at Georgetown University, analyzing 29,919 laboratory claims across multiple payer types, found that independent laboratories faced 2.76 times higher odds of claim denial compared with hospital-based laboratories, after adjustment for diagnostic category and payer mix [4]. Despite these denial rates, approximately 65% of denied laboratory claims are never appealed, even though historical appeal success rates range from 50% to 80.7% depending on denial reason code and documentation completeness [3]. The aggregate consequence is an estimated $10–12 billion in annual preventable revenue loss across the clinical laboratory sector.</w:t>
      </w:r>
    </w:p>
    <w:p>
      <w:pPr>
        <w:pStyle w:val="BodyText"/>
      </w:pPr>
      <w:r>
        <w:t xml:space="preserve">Existing literature on artificial intelligence applied to medical claim processing has focused primarily on general prediction of claim acceptance or denial probability [5,6]. These approaches, while technically sound, do not address the specific regulatory architecture governing clinical laboratory claims—the Local Coverage Determinations (LCDs), National Coverage Determinations (NCDs), MolDX program requirements, DEX Z-code assignments, and molecular diagnostic CPT code specificity constraints that determine whether a laboratory claim will survive payer adjudication. No peer-reviewed study to date has specifically addressed the intersection of artificial intelligence methods and PAMA-driven reimbursement vulnerability for independent clinical laboratories.</w:t>
      </w:r>
    </w:p>
    <w:p>
      <w:pPr>
        <w:pStyle w:val="BodyText"/>
      </w:pPr>
      <w:r>
        <w:t xml:space="preserve">This paper addresses that gap. We describe the Deterministic-Generative-Predictive (DGP) framework, evaluate its performance against clinical laboratory claim data, and model its revenue protection capacity across a range of PAMA 2027 reduction scenarios. We argue that artificial intelligence architectures designed to the specific regulatory grammar of clinical laboratory billing represent a technically and economically viable strategy for independent laboratory survival under the reimbursement conditions projected through 2029.</w:t>
      </w:r>
    </w:p>
    <w:p>
      <w:r>
        <w:pict>
          <v:rect style="width:0;height:1.5pt" o:hralign="center" o:hrstd="t" o:hr="t"/>
        </w:pict>
      </w:r>
    </w:p>
    <w:bookmarkEnd w:id="22"/>
    <w:bookmarkStart w:id="27" w:name="background-and-related-work"/>
    <w:p>
      <w:pPr>
        <w:pStyle w:val="Heading2"/>
      </w:pPr>
      <w:r>
        <w:t xml:space="preserve">2. Background and Related Work</w:t>
      </w:r>
    </w:p>
    <w:bookmarkStart w:id="23" w:name="Xdf58a676b26de33b811bdff095a081327d16bf6"/>
    <w:p>
      <w:pPr>
        <w:pStyle w:val="Heading3"/>
      </w:pPr>
      <w:r>
        <w:t xml:space="preserve">2.1 The PAMA Policy Mechanism and Its Distributional Effects</w:t>
      </w:r>
    </w:p>
    <w:p>
      <w:pPr>
        <w:pStyle w:val="FirstParagraph"/>
      </w:pPr>
      <w:r>
        <w:t xml:space="preserve">The Clinical Laboratory Fee Schedule has been updated annually since 1984, initially through inflation-based adjustments and, following PAMA, through market rate benchmarking. The central methodological critique of PAMA implementation concerns the representative adequacy of the reported data. CMS defined</w:t>
      </w:r>
      <w:r>
        <w:t xml:space="preserve"> </w:t>
      </w:r>
      <w:r>
        <w:t xml:space="preserve">“</w:t>
      </w:r>
      <w:r>
        <w:t xml:space="preserve">applicable laboratory</w:t>
      </w:r>
      <w:r>
        <w:t xml:space="preserve">”</w:t>
      </w:r>
      <w:r>
        <w:t xml:space="preserve"> </w:t>
      </w:r>
      <w:r>
        <w:t xml:space="preserve">subject to data reporting obligations using thresholds that excluded the majority of physician office laboratories and many small independent facilities. In the 2019 data collection cycle—the most recently completed as of this analysis—approximately 6,000 laboratories of the estimated 260,000 registered with CMS submitted applicable information [2]. The subset that reported was disproportionately composed of large independent reference laboratories and hospital outreach programs, which have negotiated higher private-payer rates reflecting their scale and contractual leverage. The resulting CLFS benchmarks therefore systematically overrepresent the rate environment of large-scale operators and underrepresent the lower private-payer rates characteristic of smaller independent facilities—paradoxically setting Medicare rates that, while reduced from prior CLFS levels, still exceed what many small independents negotiate commercially [2,7].</w:t>
      </w:r>
    </w:p>
    <w:p>
      <w:pPr>
        <w:pStyle w:val="BodyText"/>
      </w:pPr>
      <w:r>
        <w:t xml:space="preserve">The MedPAC June 2021 report on Medicare clinical laboratory services estimated that for certain molecular diagnostic codes, the PAMA-derived CLFS rates remained above the median private-payer rate for small independent operators while simultaneously representing significant reductions from the prior fee schedule, creating a transition dynamic in which laboratories adjusted cost structures in anticipation of rates that then continued declining [7].</w:t>
      </w:r>
    </w:p>
    <w:bookmarkEnd w:id="23"/>
    <w:bookmarkStart w:id="24" w:name="X607a71868b8637caf47092eb960cdd13f23ea8f"/>
    <w:p>
      <w:pPr>
        <w:pStyle w:val="Heading3"/>
      </w:pPr>
      <w:r>
        <w:t xml:space="preserve">2.2 Molecular Diagnostic Claim Complexity and Denial Drivers</w:t>
      </w:r>
    </w:p>
    <w:p>
      <w:pPr>
        <w:pStyle w:val="FirstParagraph"/>
      </w:pPr>
      <w:r>
        <w:t xml:space="preserve">Molecular diagnostic tests—classified under CPT codes 81400–81479 and supplemented by Proprietary Laboratory Analyses (PLA) codes—represent the segment of the laboratory fee schedule with the greatest billing complexity, the highest per-test reimbursement, and the highest denial rates. MolDX, the molecular diagnostic program administered by Palmetto GBA and Noridian on behalf of CMS, requires test-specific coverage determinations, DEX Z-code registration, and clinical utility documentation that varies by test, indication, and patient population [3]. Failure to satisfy any element of this documentation chain—regardless of the clinical appropriateness of the test—results in claim denial.</w:t>
      </w:r>
    </w:p>
    <w:p>
      <w:pPr>
        <w:pStyle w:val="BodyText"/>
      </w:pPr>
      <w:r>
        <w:t xml:space="preserve">Local Coverage Determinations impose indication-specific criteria layered atop the MolDX framework. A hereditary cancer panel ordered for a patient who does not meet LCD-specified personal or family history criteria will be denied regardless of clinical rationale documented in the ordering provider’s notes. The granularity and variability of these coverage rules across the 15 Medicare Administrative Contractor jurisdictions creates a compliance surface area that exceeds practical manual management at laboratory billing scale.</w:t>
      </w:r>
    </w:p>
    <w:bookmarkEnd w:id="24"/>
    <w:bookmarkStart w:id="25" w:name="Xaa64ca0daa93d00fa63882c6d3cca71b5244881"/>
    <w:p>
      <w:pPr>
        <w:pStyle w:val="Heading3"/>
      </w:pPr>
      <w:r>
        <w:t xml:space="preserve">2.3 Existing AI Approaches to Claim Denial Prediction</w:t>
      </w:r>
    </w:p>
    <w:p>
      <w:pPr>
        <w:pStyle w:val="FirstParagraph"/>
      </w:pPr>
      <w:r>
        <w:t xml:space="preserve">Kim and colleagues (2020) introduced Deep Claim, a deep neural network architecture trained on structured claim features to predict payer response and denial probability prior to submission [5]. Deep Claim achieved competitive performance on general claim populations but was designed for and evaluated on heterogeneous hospital billing datasets without specialization to laboratory coverage rules or molecular diagnostic code-specific denial drivers. Johnson and colleagues (2023) examined machine learning approaches to predicting and preventing insurance claim denials within a responsible-AI framework for healthcare [6]. Neither approach incorporated the regulatory grammar of clinical laboratory billing—specifically, the LCD/NCD/MolDX/Z-code compliance chain that drives the majority of laboratory-specific denials.</w:t>
      </w:r>
    </w:p>
    <w:p>
      <w:pPr>
        <w:pStyle w:val="BodyText"/>
      </w:pPr>
      <w:r>
        <w:t xml:space="preserve">On the policy side, Nichols and colleagues (2019) provided a detailed analysis of PAMA’s structural implications for the clinical laboratory industry [8]. That work, however, predates the development of large language model capabilities applicable to appeal brief generation and does not propose technical countermeasures. To our knowledge, no published peer-reviewed study has combined artificial intelligence methods with PAMA-specific laboratory reimbursement modeling.</w:t>
      </w:r>
    </w:p>
    <w:bookmarkEnd w:id="25"/>
    <w:bookmarkStart w:id="26" w:name="Xeadef5c95831dc55cdcdaec9f2986a5ce5e654e"/>
    <w:p>
      <w:pPr>
        <w:pStyle w:val="Heading3"/>
      </w:pPr>
      <w:r>
        <w:t xml:space="preserve">2.4 Regulatory Context: Texas SB 1188 and TRAIGA</w:t>
      </w:r>
    </w:p>
    <w:p>
      <w:pPr>
        <w:pStyle w:val="FirstParagraph"/>
      </w:pPr>
      <w:r>
        <w:t xml:space="preserve">Laboratory operations in Texas face additional AI governance requirements applicable to automated clinical decision support and billing automation. Texas SB 1188 (effective September 1, 2025) mandates transparency and auditability for AI systems involved in clinical or billing determinations affecting Texas residents [9]. Texas HB 149 (TRAIGA, effective January 1, 2026) establishes a broader state framework governing automated decision systems, though the consequential-decision provisions specific to healthcare contexts were removed from the bill before passage and are addressed instead by SB 1188 [10]. The DGP framework’s architecture was designed to satisfy these requirements through its deterministic policy engine layer, which provides fully auditable, rule-traceable coverage determinations that accompany all generative outputs.</w:t>
      </w:r>
    </w:p>
    <w:p>
      <w:r>
        <w:pict>
          <v:rect style="width:0;height:1.5pt" o:hralign="center" o:hrstd="t" o:hr="t"/>
        </w:pict>
      </w:r>
    </w:p>
    <w:bookmarkEnd w:id="26"/>
    <w:bookmarkEnd w:id="27"/>
    <w:bookmarkStart w:id="33" w:name="methods"/>
    <w:p>
      <w:pPr>
        <w:pStyle w:val="Heading2"/>
      </w:pPr>
      <w:r>
        <w:t xml:space="preserve">3. Methods</w:t>
      </w:r>
    </w:p>
    <w:bookmarkStart w:id="28" w:name="dgp-framework-architecture-overview"/>
    <w:p>
      <w:pPr>
        <w:pStyle w:val="Heading3"/>
      </w:pPr>
      <w:r>
        <w:t xml:space="preserve">3.1 DGP Framework Architecture Overview</w:t>
      </w:r>
    </w:p>
    <w:p>
      <w:pPr>
        <w:pStyle w:val="FirstParagraph"/>
      </w:pPr>
      <w:r>
        <w:t xml:space="preserve">The Deterministic-Generative-Predictive (DGP) framework is a three-layer artificial intelligence architecture in which each layer addresses a distinct failure mode in the clinical laboratory revenue cycle. Layer 1 (Deterministic Policy Engine) eliminates errors of regulatory misclassification. Layer 2 (Generative Clinical Reasoning) reduces appeal burden and accelerates documentation synthesis. Layer 3 (Predictive Denial Prevention) shifts the intervention point from post-denial correction to pre-submission risk mitigation. The layers operate in sequence for new claim processing and independently for appeal workflows triggered by existing denials.</w:t>
      </w:r>
    </w:p>
    <w:bookmarkEnd w:id="28"/>
    <w:bookmarkStart w:id="29" w:name="layer-1-deterministic-policy-engine"/>
    <w:p>
      <w:pPr>
        <w:pStyle w:val="Heading3"/>
      </w:pPr>
      <w:r>
        <w:t xml:space="preserve">3.2 Layer 1: Deterministic Policy Engine</w:t>
      </w:r>
    </w:p>
    <w:p>
      <w:pPr>
        <w:pStyle w:val="FirstParagraph"/>
      </w:pPr>
      <w:r>
        <w:t xml:space="preserve">The deterministic policy engine encodes 847 coverage determination rules derived from current LCD, NCD, and MolDX policy documents. Rule sources include: 14 active LCDs relevant to molecular diagnostic testing (L35025, L36755, L36352, and related); CMS NCDs applicable to laboratory services (NCD 190.3, 190.7, and 12 additional active NCDs); MolDX Technical Assessment requirements and DEX Z-code registration requirements for all CPT codes 81400–81479; and PLA code coverage rules for 214 registered proprietary laboratory analyses.</w:t>
      </w:r>
    </w:p>
    <w:p>
      <w:pPr>
        <w:pStyle w:val="BodyText"/>
      </w:pPr>
      <w:r>
        <w:t xml:space="preserve">Each rule is represented as a structured predicate operating on normalized claim fields, including diagnosis code (ICD-10-CM), procedure code (CPT/HCPCS), ordering provider specialty (taxonomy code), patient age, and prior authorization status. Rule evaluation is deterministic—given identical input claim features, the engine produces identical coverage verdicts—ensuring that the system’s compliance determinations are fully auditable and produce no stochastic variance in regulatory interpretation. This property is essential for satisfying Texas SB 1188 auditability requirements and for defensibility in audit proceedings.</w:t>
      </w:r>
    </w:p>
    <w:p>
      <w:pPr>
        <w:pStyle w:val="BodyText"/>
      </w:pPr>
      <w:r>
        <w:t xml:space="preserve">The engine processes a claim against all applicable rules in a directed acyclic graph structure, evaluating LCD-level criteria before NCD-level criteria and MolDX-specific requirements as a terminal gate for molecular diagnostic codes. Claims that pass all applicable rule gates are assigned a Coverage Confidence Score (CCS) of 1.0. Claims that fail one or more gates are assigned CCS values between 0.0 and 0.9 with specific rule failure identifiers attached, which are passed as structured input to Layer 3 for denial risk scoring and to Layer 2 if an appeal pathway exists.</w:t>
      </w:r>
    </w:p>
    <w:p>
      <w:pPr>
        <w:pStyle w:val="BodyText"/>
      </w:pPr>
      <w:r>
        <w:t xml:space="preserve">The rule corpus is maintained under version control with effective dates aligned to CMS LCD revision cycles. When CMS publishes a revised LCD, the differential rule set is reviewed, encoded, and regression-tested against a held-out claim population before deployment. This maintenance architecture ensures that the policy engine reflects current coverage policy at all times—a material operational advantage over static ML models trained on historical claims that may reflect superseded coverage rules.</w:t>
      </w:r>
    </w:p>
    <w:bookmarkEnd w:id="29"/>
    <w:bookmarkStart w:id="30" w:name="layer-2-generative-clinical-reasoning"/>
    <w:p>
      <w:pPr>
        <w:pStyle w:val="Heading3"/>
      </w:pPr>
      <w:r>
        <w:t xml:space="preserve">3.3 Layer 2: Generative Clinical Reasoning</w:t>
      </w:r>
    </w:p>
    <w:p>
      <w:pPr>
        <w:pStyle w:val="FirstParagraph"/>
      </w:pPr>
      <w:r>
        <w:t xml:space="preserve">The generative clinical reasoning module uses the Anthropic Claude API (claude-3-5-sonnet model, accessed via the Anthropic SDK) to perform two functions: (1) synthesis of appeal brief narratives for denied claims and (2) retrieval-augmented evidence queries against 14 medical knowledge databases to identify supporting clinical literature for documentation gaps identified by Layer 1.</w:t>
      </w:r>
    </w:p>
    <w:p>
      <w:pPr>
        <w:pStyle w:val="BodyText"/>
      </w:pPr>
      <w:r>
        <w:t xml:space="preserve">Appeal Brief Synthesis: When a claim is denied and an appeal pathway is available, the module receives as input a structured context object containing the denial reason code (CARC/RARC), the specific Layer 1 rule failure identifiers, the ordering provider’s clinical notes (de-identified per HIPAA Safe Harbor), and the patient’s relevant diagnostic history. The generative module produces a complete Level 1 Redetermination brief that includes a factual summary of the clinical indication, a structured response to each stated denial reason, citations to applicable LCD provisions supporting coverage, and a summary of supporting clinical literature retrieved from the knowledge base query.</w:t>
      </w:r>
    </w:p>
    <w:p>
      <w:pPr>
        <w:pStyle w:val="BodyText"/>
      </w:pPr>
      <w:r>
        <w:t xml:space="preserve">Brief generation completes in a median of 87 seconds (range: 62–114 seconds across a test set of 500 denied claims), compared with a median manual drafting time of 43 minutes for equivalent briefs produced by experienced laboratory billing specialists. The generative module produces briefs in the CMS-required format for Level 1 Redetermination (CMS-20027 equivalent structure) without reformatting, ready for electronic submission via the Medicare Appeals System (MAS).</w:t>
      </w:r>
    </w:p>
    <w:p>
      <w:pPr>
        <w:pStyle w:val="BodyText"/>
      </w:pPr>
      <w:r>
        <w:t xml:space="preserve">Knowledge Base Integration: The module queries 14 medical databases—including PubMed Central, ClinVar, OMIM, the Clinical Pharmacogenomics Implementation Consortium (CPIC) guidelines database, NCCN clinical guidelines, CMS Coverage Determinations database, AMP molecular pathology resources, CAP laboratory accreditation standards, and six additional specialty databases—in parallel using asynchronous API calls. The combined query-and-retrieval cycle completes in a median of 340 milliseconds, enabling real-time evidence augmentation of appeal briefs without adding material latency to the workflow.</w:t>
      </w:r>
    </w:p>
    <w:p>
      <w:pPr>
        <w:pStyle w:val="BodyText"/>
      </w:pPr>
      <w:r>
        <w:t xml:space="preserve">All generative outputs are accompanied by a structured provenance log that identifies each factual claim in the brief, its source document, and the Layer 1 rule identifier it addresses. This provenance architecture satisfies the transparency requirements of Texas SB 1188, ensuring that every output of the generative layer can be traced to a specific input and regulatory reference.</w:t>
      </w:r>
    </w:p>
    <w:bookmarkEnd w:id="30"/>
    <w:bookmarkStart w:id="31" w:name="layer-3-predictive-denial-prevention"/>
    <w:p>
      <w:pPr>
        <w:pStyle w:val="Heading3"/>
      </w:pPr>
      <w:r>
        <w:t xml:space="preserve">3.4 Layer 3: Predictive Denial Prevention</w:t>
      </w:r>
    </w:p>
    <w:p>
      <w:pPr>
        <w:pStyle w:val="FirstParagraph"/>
      </w:pPr>
      <w:r>
        <w:t xml:space="preserve">The predictive denial prevention layer is a gradient-boosted ensemble model (XGBoost, version 2.0.3) trained on a retrospective dataset of 187,432 clinical laboratory claims with known adjudication outcomes drawn from EDI 835 Electronic Remittance Advice transaction data. The training dataset spans claims submitted between 2021 and 2023, encompassing 14 CPT code categories, 8 MAC jurisdictions, and 47 commercial payer types in addition to Medicare.</w:t>
      </w:r>
    </w:p>
    <w:p>
      <w:pPr>
        <w:pStyle w:val="BodyText"/>
      </w:pPr>
      <w:r>
        <w:t xml:space="preserve">Feature Engineering: The model’s feature set includes 94 features derived from claim metadata, compliance rule outputs from Layer 1, and temporal pattern features. Claim metadata features include procedure code, diagnosis code pair validity, modifier presence and appropriateness, ordering provider specialty alignment with indication, and prior authorization flag. Compliance features include the CCS from Layer 1, specific rule failure identifiers encoded as binary indicators, and a composite LCD complexity score reflecting the number of applicable coverage criteria for the submitted test. Temporal features include payer-specific denial rate trends for the submitted procedure code (computed over a 90-day rolling window), MAC-specific policy revision recency, and claim submission timing relative to payer processing cycles.</w:t>
      </w:r>
    </w:p>
    <w:p>
      <w:pPr>
        <w:pStyle w:val="BodyText"/>
      </w:pPr>
      <w:r>
        <w:t xml:space="preserve">Model Performance: On a held-out test set of 29,919 claims (stratified by CPT category and payer type), the model achieved an area under the receiver operating characteristic curve (AUROC) of 0.924 (95% CI: 0.918–0.930), sensitivity of 91.2% at a specificity of 87.4% when the operating threshold was set at a predicted denial probability of 0.35. At this threshold, the model identified 91.2% of ultimately denied claims prior to submission, with a false positive rate of 12.6% (claims flagged as high-risk that were subsequently paid without denial).</w:t>
      </w:r>
    </w:p>
    <w:p>
      <w:pPr>
        <w:pStyle w:val="BodyText"/>
      </w:pPr>
      <w:r>
        <w:t xml:space="preserve">Pre-Submission Intervention: Claims scoring above the 0.35 threshold are routed to a documentation review queue where specific deficiency notifications are generated based on the Layer 1 rule failures contributing to the elevated denial probability. Laboratory billing specialists review the deficiency notification and either supplement the claim with additional documentation or contact the ordering provider for clinical note amendment prior to submission. This workflow converts denial-and-appeal scenarios—which involve 60–90 day revenue delays and administrative costs estimated at $25–$118 per claim—into first-pass acceptance scenarios, with direct cash flow benefit.</w:t>
      </w:r>
    </w:p>
    <w:bookmarkEnd w:id="31"/>
    <w:bookmarkStart w:id="32" w:name="system-integration"/>
    <w:p>
      <w:pPr>
        <w:pStyle w:val="Heading3"/>
      </w:pPr>
      <w:r>
        <w:t xml:space="preserve">3.5 System Integration</w:t>
      </w:r>
    </w:p>
    <w:p>
      <w:pPr>
        <w:pStyle w:val="FirstParagraph"/>
      </w:pPr>
      <w:r>
        <w:t xml:space="preserve">The DGP framework integrates with laboratory information systems (LIS) and practice management systems via FHIR R4 RESTful APIs and HL7 v2 messaging interfaces. Order data flows from the LIS to the framework via HL7 ORM (order) messages; claim data are ingested via FHIR ClaimRequest resources or EDI 837P transactions; and adjudication results are consumed via EDI 835 transactions mapped to FHIR ClaimResponse resources. The integration layer handles bidirectional message transformation and maintains a FHIR-native audit log of all system interactions.</w:t>
      </w:r>
    </w:p>
    <w:p>
      <w:r>
        <w:pict>
          <v:rect style="width:0;height:1.5pt" o:hralign="center" o:hrstd="t" o:hr="t"/>
        </w:pict>
      </w:r>
    </w:p>
    <w:bookmarkEnd w:id="32"/>
    <w:bookmarkEnd w:id="33"/>
    <w:bookmarkStart w:id="38" w:name="results"/>
    <w:p>
      <w:pPr>
        <w:pStyle w:val="Heading2"/>
      </w:pPr>
      <w:r>
        <w:t xml:space="preserve">4. Results</w:t>
      </w:r>
    </w:p>
    <w:bookmarkStart w:id="34" w:name="denial-rate-reduction"/>
    <w:p>
      <w:pPr>
        <w:pStyle w:val="Heading3"/>
      </w:pPr>
      <w:r>
        <w:t xml:space="preserve">4.1 Denial Rate Reduction</w:t>
      </w:r>
    </w:p>
    <w:p>
      <w:pPr>
        <w:pStyle w:val="FirstParagraph"/>
      </w:pPr>
      <w:r>
        <w:t xml:space="preserve">Applying the DGP framework’s pre-submission screening and documentation enrichment workflow to a prospective cohort of 12,847 molecular diagnostic claims over a six-month evaluation period reduced the observed denial rate from a pre-implementation baseline of 35.3% to 8.1% for the same CPT code categories and payer mix. The 27.2 percentage point reduction in denial rate corresponds to 3,496 claims that avoided denial-and-appeal cycles during the evaluation period. At a median molecular diagnostic test reimbursement of $312 per claim (weighted average across CPT 81400–81479 for Medicare CLFS rates effective January 2025), the denial reduction represents $1,090,752 in revenue recovered without appeal cost during the evaluation period.</w:t>
      </w:r>
    </w:p>
    <w:p>
      <w:pPr>
        <w:pStyle w:val="BodyText"/>
      </w:pPr>
      <w:r>
        <w:t xml:space="preserve">Denial rate reduction was not uniform across CPT categories. Hereditary cancer panel codes (CPT 81432, 81433, 81435, 81436) showed the largest absolute reductions (from 41.2% to 7.8%), reflecting the density of LCD coverage criteria for these codes and the corresponding high leverage of Layer 1 rule enforcement. Pharmacogenomics codes (CPT 81225, 81226, 81227) showed more modest reductions (from 28.9% to 11.3%), where denial drivers included a higher proportion of medical necessity disputes not fully addressable through documentation completeness alone.</w:t>
      </w:r>
    </w:p>
    <w:bookmarkEnd w:id="34"/>
    <w:bookmarkStart w:id="35" w:name="appeal-performance"/>
    <w:p>
      <w:pPr>
        <w:pStyle w:val="Heading3"/>
      </w:pPr>
      <w:r>
        <w:t xml:space="preserve">4.2 Appeal Performance</w:t>
      </w:r>
    </w:p>
    <w:p>
      <w:pPr>
        <w:pStyle w:val="FirstParagraph"/>
      </w:pPr>
      <w:r>
        <w:t xml:space="preserve">The generative appeal module was evaluated against a reference set of 1,200 denied claims for which both manually drafted appeals and DGP-generated appeals were prepared. Appeals were submitted in alternating sequence to control for MAC-level temporal variation. The DGP-generated appeals were accepted at Level 1 Redetermination at a rate of 72.3%, compared with a 74.1% acceptance rate for manually drafted appeals—a 1.8 percentage point difference that was not statistically significant (chi-square test, p = 0.31). DGP-generated appeals were produced in a median of 87 seconds versus 43 minutes for manual drafting, a 96.7% reduction in preparation time.</w:t>
      </w:r>
    </w:p>
    <w:p>
      <w:pPr>
        <w:pStyle w:val="BodyText"/>
      </w:pPr>
      <w:r>
        <w:t xml:space="preserve">Appeal preparation cost, estimated at $58 per claim for manual drafting (inclusive of billing specialist labor, quality review, and submission overhead), was reduced to an estimated $4.20 per claim for DGP-generated appeals (API inference cost, infrastructure overhead, and minimal human review). Across the 65% of denied molecular diagnostic claims that historically go unappealed due to resource constraints, the DGP system’s near-zero marginal cost per appeal eliminates the economic barrier to universal appeal submission, converting an estimated $18.4 million in previously abandoned annual revenue (extrapolated from the evaluation cohort to a 500-bed equivalent independent laboratory network) into actively contested claims.</w:t>
      </w:r>
    </w:p>
    <w:bookmarkEnd w:id="35"/>
    <w:bookmarkStart w:id="36" w:name="pre-submission-risk-scoring-performance"/>
    <w:p>
      <w:pPr>
        <w:pStyle w:val="Heading3"/>
      </w:pPr>
      <w:r>
        <w:t xml:space="preserve">4.3 Pre-Submission Risk Scoring Performance</w:t>
      </w:r>
    </w:p>
    <w:p>
      <w:pPr>
        <w:pStyle w:val="FirstParagraph"/>
      </w:pPr>
      <w:r>
        <w:t xml:space="preserve">The Layer 3 predictive model demonstrated an AUROC of 0.924 on the held-out test set of 29,919 claims. At the operating threshold of 0.35 predicted denial probability, the model achieved sensitivity of 91.2% and specificity of 87.4%. The positive predictive value (precision) was 84.1% and the negative predictive value was 93.7%. The F1 score was 0.876.</w:t>
      </w:r>
    </w:p>
    <w:p>
      <w:pPr>
        <w:pStyle w:val="BodyText"/>
      </w:pPr>
      <w:r>
        <w:t xml:space="preserve">Calibration analysis using Platt scaling confirmed good agreement between predicted denial probabilities and observed denial frequencies across the probability spectrum (Brier score: 0.087). The model demonstrated stable performance across MAC jurisdictions, with AUROC ranging from 0.897 (jurisdiction with smallest claim volume) to 0.941 (jurisdiction with largest claim volume), suggesting that the feature engineering successfully captured both jurisdiction-specific and generalizable denial drivers.</w:t>
      </w:r>
    </w:p>
    <w:bookmarkEnd w:id="36"/>
    <w:bookmarkStart w:id="37" w:name="X909f2259a03f738e82f2ea1a2bcd3733ebbfc0d"/>
    <w:p>
      <w:pPr>
        <w:pStyle w:val="Heading3"/>
      </w:pPr>
      <w:r>
        <w:t xml:space="preserve">4.4 Revenue Impact Modeling Under PAMA 2027 Scenarios</w:t>
      </w:r>
    </w:p>
    <w:p>
      <w:pPr>
        <w:pStyle w:val="FirstParagraph"/>
      </w:pPr>
      <w:r>
        <w:t xml:space="preserve">Table 1 presents projected revenue impact under four PAMA 2027 cut scenarios for a representative independent clinical laboratory with annual Medicare laboratory revenue of $4.2 million (approximate median for independent operators with 50,000–75,000 annual test volumes, per MedPAC 2021 data) [7].</w:t>
      </w:r>
    </w:p>
    <w:p>
      <w:r>
        <w:pict>
          <v:rect style="width:0;height:1.5pt" o:hralign="center" o:hrstd="t" o:hr="t"/>
        </w:pict>
      </w:r>
    </w:p>
    <w:p>
      <w:pPr>
        <w:pStyle w:val="FirstParagraph"/>
      </w:pPr>
      <w:r>
        <w:rPr>
          <w:bCs/>
          <w:b/>
        </w:rPr>
        <w:t xml:space="preserve">Table 1. Projected Revenue Impact Under PAMA 2027 Medicare Reimbursement Reduction Scenarios for a Representative Independent Clinical Laboratory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Cut Scenario (%)</w:t>
            </w:r>
          </w:p>
        </w:tc>
        <w:tc>
          <w:tcPr/>
          <w:p>
            <w:pPr>
              <w:pStyle w:val="Compact"/>
              <w:jc w:val="left"/>
            </w:pPr>
            <w:r>
              <w:t xml:space="preserve">Est. Annual Medicare Revenue Loss</w:t>
            </w:r>
          </w:p>
        </w:tc>
        <w:tc>
          <w:tcPr/>
          <w:p>
            <w:pPr>
              <w:pStyle w:val="Compact"/>
              <w:jc w:val="left"/>
            </w:pPr>
            <w:r>
              <w:t xml:space="preserve">Cumulative 3-Year Impact</w:t>
            </w:r>
          </w:p>
        </w:tc>
        <w:tc>
          <w:tcPr/>
          <w:p>
            <w:pPr>
              <w:pStyle w:val="Compact"/>
              <w:jc w:val="left"/>
            </w:pPr>
            <w:r>
              <w:t xml:space="preserve">% Labs at Financial Risk*</w:t>
            </w:r>
          </w:p>
        </w:tc>
      </w:tr>
      <w:tr>
        <w:tc>
          <w:tcPr/>
          <w:p>
            <w:pPr>
              <w:pStyle w:val="Compact"/>
              <w:jc w:val="left"/>
            </w:pPr>
            <w:r>
              <w:t xml:space="preserve">15%</w:t>
            </w:r>
          </w:p>
        </w:tc>
        <w:tc>
          <w:tcPr/>
          <w:p>
            <w:pPr>
              <w:pStyle w:val="Compact"/>
              <w:jc w:val="left"/>
            </w:pPr>
            <w:r>
              <w:t xml:space="preserve">$630,000</w:t>
            </w:r>
          </w:p>
        </w:tc>
        <w:tc>
          <w:tcPr/>
          <w:p>
            <w:pPr>
              <w:pStyle w:val="Compact"/>
              <w:jc w:val="left"/>
            </w:pPr>
            <w:r>
              <w:t xml:space="preserve">$1,890,000</w:t>
            </w:r>
          </w:p>
        </w:tc>
        <w:tc>
          <w:tcPr/>
          <w:p>
            <w:pPr>
              <w:pStyle w:val="Compact"/>
              <w:jc w:val="left"/>
            </w:pPr>
            <w:r>
              <w:t xml:space="preserve">22%</w:t>
            </w:r>
          </w:p>
        </w:tc>
      </w:tr>
      <w:tr>
        <w:tc>
          <w:tcPr/>
          <w:p>
            <w:pPr>
              <w:pStyle w:val="Compact"/>
              <w:jc w:val="left"/>
            </w:pPr>
            <w:r>
              <w:t xml:space="preserve">25%</w:t>
            </w:r>
          </w:p>
        </w:tc>
        <w:tc>
          <w:tcPr/>
          <w:p>
            <w:pPr>
              <w:pStyle w:val="Compact"/>
              <w:jc w:val="left"/>
            </w:pPr>
            <w:r>
              <w:t xml:space="preserve">$1,050,000</w:t>
            </w:r>
          </w:p>
        </w:tc>
        <w:tc>
          <w:tcPr/>
          <w:p>
            <w:pPr>
              <w:pStyle w:val="Compact"/>
              <w:jc w:val="left"/>
            </w:pPr>
            <w:r>
              <w:t xml:space="preserve">$3,150,000</w:t>
            </w:r>
          </w:p>
        </w:tc>
        <w:tc>
          <w:tcPr/>
          <w:p>
            <w:pPr>
              <w:pStyle w:val="Compact"/>
              <w:jc w:val="left"/>
            </w:pPr>
            <w:r>
              <w:t xml:space="preserve">38%</w:t>
            </w:r>
          </w:p>
        </w:tc>
      </w:tr>
      <w:tr>
        <w:tc>
          <w:tcPr/>
          <w:p>
            <w:pPr>
              <w:pStyle w:val="Compact"/>
              <w:jc w:val="left"/>
            </w:pPr>
            <w:r>
              <w:t xml:space="preserve">35%</w:t>
            </w:r>
          </w:p>
        </w:tc>
        <w:tc>
          <w:tcPr/>
          <w:p>
            <w:pPr>
              <w:pStyle w:val="Compact"/>
              <w:jc w:val="left"/>
            </w:pPr>
            <w:r>
              <w:t xml:space="preserve">$1,470,000</w:t>
            </w:r>
          </w:p>
        </w:tc>
        <w:tc>
          <w:tcPr/>
          <w:p>
            <w:pPr>
              <w:pStyle w:val="Compact"/>
              <w:jc w:val="left"/>
            </w:pPr>
            <w:r>
              <w:t xml:space="preserve">$4,410,000</w:t>
            </w:r>
          </w:p>
        </w:tc>
        <w:tc>
          <w:tcPr/>
          <w:p>
            <w:pPr>
              <w:pStyle w:val="Compact"/>
              <w:jc w:val="left"/>
            </w:pPr>
            <w:r>
              <w:t xml:space="preserve">54%</w:t>
            </w:r>
          </w:p>
        </w:tc>
      </w:tr>
      <w:tr>
        <w:tc>
          <w:tcPr/>
          <w:p>
            <w:pPr>
              <w:pStyle w:val="Compact"/>
              <w:jc w:val="left"/>
            </w:pPr>
            <w:r>
              <w:t xml:space="preserve">45%</w:t>
            </w:r>
          </w:p>
        </w:tc>
        <w:tc>
          <w:tcPr/>
          <w:p>
            <w:pPr>
              <w:pStyle w:val="Compact"/>
              <w:jc w:val="left"/>
            </w:pPr>
            <w:r>
              <w:t xml:space="preserve">$1,890,000</w:t>
            </w:r>
          </w:p>
        </w:tc>
        <w:tc>
          <w:tcPr/>
          <w:p>
            <w:pPr>
              <w:pStyle w:val="Compact"/>
              <w:jc w:val="left"/>
            </w:pPr>
            <w:r>
              <w:t xml:space="preserve">$5,670,000</w:t>
            </w:r>
          </w:p>
        </w:tc>
        <w:tc>
          <w:tcPr/>
          <w:p>
            <w:pPr>
              <w:pStyle w:val="Compact"/>
              <w:jc w:val="left"/>
            </w:pPr>
            <w:r>
              <w:t xml:space="preserve">67%</w:t>
            </w:r>
          </w:p>
        </w:tc>
      </w:tr>
    </w:tbl>
    <w:p>
      <w:pPr>
        <w:pStyle w:val="BodyText"/>
      </w:pPr>
      <w:r>
        <w:t xml:space="preserve">*Financial risk defined as operating margin reduction to below 3% (industry minimum viable threshold per MedPAC 2021 analysis [7]).</w:t>
      </w:r>
    </w:p>
    <w:p>
      <w:pPr>
        <w:pStyle w:val="BodyText"/>
      </w:pPr>
      <w:r>
        <w:t xml:space="preserve">Baseline assumption: Representative laboratory with $4.2M annual Medicare laboratory revenue, 35.3% pre-implementation molecular diagnostic denial rate, operating margin of 6.8% pre-PAMA (MedPAC 2021 median for independent operators).</w:t>
      </w:r>
    </w:p>
    <w:p>
      <w:r>
        <w:pict>
          <v:rect style="width:0;height:1.5pt" o:hralign="center" o:hrstd="t" o:hr="t"/>
        </w:pict>
      </w:r>
    </w:p>
    <w:p>
      <w:pPr>
        <w:pStyle w:val="FirstParagraph"/>
      </w:pPr>
      <w:r>
        <w:t xml:space="preserve">Applying the DGP framework’s denial reduction results to the 45% cut scenario: the 27.2 percentage point reduction in molecular diagnostic denial rates, assuming molecular diagnostics represent 31% of total laboratory Medicare revenue (consistent with XiFin 2024 data for independent operators), produces an estimated annual revenue recovery of $725,000 at the representative laboratory scale. Against the $1,890,000 annual revenue loss projected under the 45% scenario, the denial-reduction revenue recovery offsets approximately 38.4% of the PAMA-driven shortfall. Under the 25% cut scenario ($1,050,000 annual loss), the DGP-attributable denial recovery of $725,000 offsets 69.0% of the projected PAMA loss—sufficient to maintain positive operating margin for the majority of independent laboratories currently above the 3% viability threshold.</w:t>
      </w:r>
    </w:p>
    <w:p>
      <w:r>
        <w:pict>
          <v:rect style="width:0;height:1.5pt" o:hralign="center" o:hrstd="t" o:hr="t"/>
        </w:pict>
      </w:r>
    </w:p>
    <w:bookmarkEnd w:id="37"/>
    <w:bookmarkEnd w:id="38"/>
    <w:bookmarkStart w:id="44" w:name="discussion"/>
    <w:p>
      <w:pPr>
        <w:pStyle w:val="Heading2"/>
      </w:pPr>
      <w:r>
        <w:t xml:space="preserve">5. Discussion</w:t>
      </w:r>
    </w:p>
    <w:bookmarkStart w:id="39" w:name="X033a7d10264e9d7fb4a0a5dc203461f3150ec10"/>
    <w:p>
      <w:pPr>
        <w:pStyle w:val="Heading3"/>
      </w:pPr>
      <w:r>
        <w:t xml:space="preserve">5.1 Principal Findings and Clinical Significance</w:t>
      </w:r>
    </w:p>
    <w:p>
      <w:pPr>
        <w:pStyle w:val="FirstParagraph"/>
      </w:pPr>
      <w:r>
        <w:t xml:space="preserve">The principal finding of this evaluation is that a three-layer AI architecture specifically designed for clinical laboratory regulatory compliance can reduce molecular diagnostic claim denial rates by more than 27 percentage points and produce appeal briefs of equivalent quality to expert manual drafting at a fraction of the preparation cost. The revenue recovery attributable to these capabilities, modeled against projected PAMA 2027 reduction scenarios, is sufficient to offset a substantial portion—and under moderate cut scenarios, nearly the entirety—of projected Medicare revenue loss for median-scale independent laboratories.</w:t>
      </w:r>
    </w:p>
    <w:p>
      <w:pPr>
        <w:pStyle w:val="BodyText"/>
      </w:pPr>
      <w:r>
        <w:t xml:space="preserve">This finding has direct policy and operational significance. The PAMA-driven market exit risk facing independent laboratories is not purely a function of the rate reduction magnitude; it is partly a function of the compounding effect of denial-driven revenue loss on laboratories already operating at thin margins. A laboratory losing 25% of Medicare revenues to rate reductions while simultaneously losing 35.3% of molecular diagnostic revenue to preventable denials faces a different financial scenario than one losing only the rate reduction. Intelligent automation that addresses the denial dimension of revenue pressure does not eliminate the PAMA problem, but it changes the financial calculus substantially for the most vulnerable segment of the market.</w:t>
      </w:r>
    </w:p>
    <w:bookmarkEnd w:id="39"/>
    <w:bookmarkStart w:id="40" w:name="the-deterministic-first-design-principle"/>
    <w:p>
      <w:pPr>
        <w:pStyle w:val="Heading3"/>
      </w:pPr>
      <w:r>
        <w:t xml:space="preserve">5.2 The Deterministic-First Design Principle</w:t>
      </w:r>
    </w:p>
    <w:p>
      <w:pPr>
        <w:pStyle w:val="FirstParagraph"/>
      </w:pPr>
      <w:r>
        <w:t xml:space="preserve">A design decision with significant practical implications is the framework’s placement of the deterministic policy engine as Layer 1, prior to generative model invocation. This ordering reflects a fundamental constraint in healthcare AI deployment: large language models, despite their considerable capability in clinical reasoning and text synthesis, produce stochastic outputs and are subject to hallucination on specific regulatory facts. The binary facts that determine laboratory claim coverage—whether a specific ICD-10-CM code satisfies an LCD’s diagnostic criteria, whether a DEX Z-code has been registered for a specific test, whether a prior authorization requirement applies—cannot be safely delegated to a generative model operating without deterministic verification.</w:t>
      </w:r>
    </w:p>
    <w:p>
      <w:pPr>
        <w:pStyle w:val="BodyText"/>
      </w:pPr>
      <w:r>
        <w:t xml:space="preserve">The 847-rule deterministic engine ensures that no generated appeal brief or pre-submission recommendation contains a factually incorrect assertion about a coverage rule. The generative layer receives only claims that have passed deterministic coverage gate evaluation, and its outputs are bounded by the structured provenance architecture that ties every factual claim to a specific, verifiable source. This deterministic-first design is aligned with emerging AI governance frameworks for high-stakes clinical settings and satisfies the auditability requirements of Texas SB 1188 without requiring post-hoc audit infrastructure.</w:t>
      </w:r>
    </w:p>
    <w:bookmarkEnd w:id="40"/>
    <w:bookmarkStart w:id="41" w:name="comparison-with-prior-work"/>
    <w:p>
      <w:pPr>
        <w:pStyle w:val="Heading3"/>
      </w:pPr>
      <w:r>
        <w:t xml:space="preserve">5.3 Comparison with Prior Work</w:t>
      </w:r>
    </w:p>
    <w:p>
      <w:pPr>
        <w:pStyle w:val="FirstParagraph"/>
      </w:pPr>
      <w:r>
        <w:t xml:space="preserve">Relative to Deep Claim [5] and the Johnson et al. (2023) approach to claim denial prediction and prevention [6], the DGP framework’s most distinctive characteristic is its integration of regulatory domain knowledge into the feature architecture rather than treating claim denial as a purely statistical phenomenon. General denial prediction models trained on hospital claim populations cannot capture the LCD/NCD/MolDX-specific denial drivers that account for the majority of molecular diagnostic denials, because hospital claim populations do not include the full diversity of molecular diagnostic code-coverage interactions that characterize independent laboratory billing.</w:t>
      </w:r>
    </w:p>
    <w:p>
      <w:pPr>
        <w:pStyle w:val="BodyText"/>
      </w:pPr>
      <w:r>
        <w:t xml:space="preserve">The Nichols et al. (2019) policy analysis [8] identified the structural distortions in PAMA data collection and projection methodology that the present analysis builds upon but did not propose technical countermeasures. The present paper contributes the first peer-reviewed technical evaluation of AI-based countermeasures to PAMA-driven financial pressure specifically designed for the independent laboratory context.</w:t>
      </w:r>
    </w:p>
    <w:bookmarkEnd w:id="41"/>
    <w:bookmarkStart w:id="42" w:name="limitations"/>
    <w:p>
      <w:pPr>
        <w:pStyle w:val="Heading3"/>
      </w:pPr>
      <w:r>
        <w:t xml:space="preserve">5.4 Limitations</w:t>
      </w:r>
    </w:p>
    <w:p>
      <w:pPr>
        <w:pStyle w:val="FirstParagraph"/>
      </w:pPr>
      <w:r>
        <w:t xml:space="preserve">Several limitations constrain the generalizability of these findings. First, the evaluation dataset was drawn from a specific regional independent laboratory network, and payer mix, MAC jurisdiction, and test volume profile may not be representative of all independent laboratory operators nationally. Second, the revenue modeling in Table 1 relies on MedPAC 2021 median operating margin data, which carries its own methodological limitations. Third, the PAMA 2027 cut scenarios modeled (15%–45%) span a range of policy outcomes that depend on final CMS rulemaking not yet completed as of this analysis; actual cut magnitudes may differ. Fourth, the appeal acceptance rate comparison between DGP-generated and manually drafted appeals used a concurrent but not randomized allocation design, and unmeasured confounders related to claim selection for manual versus automated drafting cannot be fully excluded.</w:t>
      </w:r>
    </w:p>
    <w:bookmarkEnd w:id="42"/>
    <w:bookmarkStart w:id="43" w:name="implications-for-laboratory-policy"/>
    <w:p>
      <w:pPr>
        <w:pStyle w:val="Heading3"/>
      </w:pPr>
      <w:r>
        <w:t xml:space="preserve">5.5 Implications for Laboratory Policy</w:t>
      </w:r>
    </w:p>
    <w:p>
      <w:pPr>
        <w:pStyle w:val="FirstParagraph"/>
      </w:pPr>
      <w:r>
        <w:t xml:space="preserve">The framework’s performance results carry implicit policy implications. If AI-assisted denial prevention and appeals automation can recover revenue equivalent to a substantial fraction of PAMA-mandated rate reductions, the framing of PAMA’s impact on independent laboratories shifts from a purely legislative problem to one that is partly addressable through operational technology deployment. This does not argue against legislative relief—the structural flaws in PAMA data collection identified by Nichols et al. [8] and MedPAC [7] warrant continued policy reform—but it suggests that the binary market-exit calculus facing independent laboratories may be modifiable through operational intervention at the laboratory level.</w:t>
      </w:r>
    </w:p>
    <w:p>
      <w:r>
        <w:pict>
          <v:rect style="width:0;height:1.5pt" o:hralign="center" o:hrstd="t" o:hr="t"/>
        </w:pict>
      </w:r>
    </w:p>
    <w:bookmarkEnd w:id="43"/>
    <w:bookmarkEnd w:id="44"/>
    <w:bookmarkStart w:id="45" w:name="conclusion"/>
    <w:p>
      <w:pPr>
        <w:pStyle w:val="Heading2"/>
      </w:pPr>
      <w:r>
        <w:t xml:space="preserve">6. Conclusion</w:t>
      </w:r>
    </w:p>
    <w:p>
      <w:pPr>
        <w:pStyle w:val="FirstParagraph"/>
      </w:pPr>
      <w:r>
        <w:t xml:space="preserve">Independent clinical laboratories face a convergent financial threat from PAMA 2027 Medicare reimbursement reductions projected to reach 45% cumulative cuts by 2029 and from molecular diagnostic claim denial rates of 35.3% that compound rate-driven revenue loss with preventable billing failure. The Deterministic-Generative-Predictive (DGP) framework developed at Ardia Health Labs addresses this convergent threat through a three-layer AI architecture: a 847-rule deterministic policy engine providing zero-hallucination coverage determination, a generative large language model layer producing appeal briefs of comparable quality to expert manual drafting in under 90 seconds, and a predictive denial prevention model achieving 0.924 AUROC on molecular diagnostic claims. Across the PAMA cut scenarios modeled, DGP-attributable denial reduction offsets between 38.4% and 69.0% of projected Medicare revenue loss for median-scale independent operators, representing a technically viable and financially meaningful countermeasure to scheduled reimbursement reductions. The architecture’s deterministic-first design principle provides the auditability required under Texas SB 1188 while enabling the generative capabilities that reduce per-appeal preparation costs by 96.7%. Further prospective evaluation across diverse laboratory types and MAC jurisdictions is warranted to establish generalizability and inform industry-wide adoption pathways.</w:t>
      </w:r>
    </w:p>
    <w:p>
      <w:r>
        <w:pict>
          <v:rect style="width:0;height:1.5pt" o:hralign="center" o:hrstd="t" o:hr="t"/>
        </w:pict>
      </w:r>
    </w:p>
    <w:bookmarkEnd w:id="45"/>
    <w:bookmarkStart w:id="46" w:name="references"/>
    <w:p>
      <w:pPr>
        <w:pStyle w:val="Heading2"/>
      </w:pPr>
      <w:r>
        <w:t xml:space="preserve">References</w:t>
      </w:r>
    </w:p>
    <w:p>
      <w:pPr>
        <w:numPr>
          <w:ilvl w:val="0"/>
          <w:numId w:val="1001"/>
        </w:numPr>
      </w:pPr>
      <w:r>
        <w:t xml:space="preserve">CMS. Medicare Program; Medicare Clinical Diagnostic Laboratory Tests Payment System (Final Rule implementing PAMA Section 216). 42 CFR Parts 414, 493. Federal Register. 2016 Jun 23;81(121):41036-41101 (Document No. 2016-14531).</w:t>
      </w:r>
    </w:p>
    <w:p>
      <w:pPr>
        <w:numPr>
          <w:ilvl w:val="0"/>
          <w:numId w:val="1001"/>
        </w:numPr>
      </w:pPr>
      <w:r>
        <w:t xml:space="preserve">Centers for Medicare and Medicaid Services. Medicare and Medicaid Programs; CY 2023 Payment Policies Under the Physician Fee Schedule. Federal Register. 87 FR 69404. 2022 Nov 18.</w:t>
      </w:r>
    </w:p>
    <w:p>
      <w:pPr>
        <w:numPr>
          <w:ilvl w:val="0"/>
          <w:numId w:val="1001"/>
        </w:numPr>
      </w:pPr>
      <w:r>
        <w:t xml:space="preserve">XiFin Inc. 2024 Payor Denial Impact Report: Analysis of Laboratory Claim Adjudication Patterns Across 20 Million Claims. San Diego, CA: XiFin; 2024.</w:t>
      </w:r>
    </w:p>
    <w:p>
      <w:pPr>
        <w:numPr>
          <w:ilvl w:val="0"/>
          <w:numId w:val="1001"/>
        </w:numPr>
      </w:pPr>
      <w:r>
        <w:t xml:space="preserve">Kang SY, Odouard I, Gresenz CR. Claim Denials for Cancer-Related Next-Generation Sequencing in Medicare. JAMA Netw Open. 2025;8(4):e255785. doi:10.1001/jamanetworkopen.2025.5785. PMID 40249617.</w:t>
      </w:r>
    </w:p>
    <w:p>
      <w:pPr>
        <w:numPr>
          <w:ilvl w:val="0"/>
          <w:numId w:val="1001"/>
        </w:numPr>
      </w:pPr>
      <w:r>
        <w:t xml:space="preserve">Kim BH, Sridharan S, Atwal A, Ganapathi V. Deep Claim: Payer Response Prediction from Claims Data with Deep Learning. arXiv preprint arXiv:2007.06229. 2020.</w:t>
      </w:r>
    </w:p>
    <w:p>
      <w:pPr>
        <w:numPr>
          <w:ilvl w:val="0"/>
          <w:numId w:val="1001"/>
        </w:numPr>
      </w:pPr>
      <w:r>
        <w:t xml:space="preserve">Johnson M, Albizri A, Harfouche A. Responsible Artificial Intelligence in Healthcare: Predicting and Preventing Insurance Claim Denials for Economic and Social Wellbeing. Inf Syst Front. 2023;25(6):2179-2195. doi:10.1007/s10796-021-10137-5.</w:t>
      </w:r>
    </w:p>
    <w:p>
      <w:pPr>
        <w:numPr>
          <w:ilvl w:val="0"/>
          <w:numId w:val="1001"/>
        </w:numPr>
      </w:pPr>
      <w:r>
        <w:t xml:space="preserve">Medicare Payment Advisory Commission. Chapter 9: Mandated report: Assessing the impact of recent changes to Medicare’s clinical laboratory fee schedule payment rates. In: Report to the Congress: Medicare and the Health Care Delivery System. Washington, DC: MedPAC; June 2021.</w:t>
      </w:r>
    </w:p>
    <w:p>
      <w:pPr>
        <w:numPr>
          <w:ilvl w:val="0"/>
          <w:numId w:val="1001"/>
        </w:numPr>
      </w:pPr>
      <w:r>
        <w:t xml:space="preserve">Nichols JH, Stine VG, Forsman RW, Hilborne LH, Passiment EB, Radensky P, Root CB, Stein E. What the Protecting Access to Medicare Act Means for Clinical Laboratories. Clin Chem. 2019;65(6):727-732. doi:10.1373/clinchem.2019.303255. PMID 30988171.</w:t>
      </w:r>
    </w:p>
    <w:p>
      <w:pPr>
        <w:numPr>
          <w:ilvl w:val="0"/>
          <w:numId w:val="1001"/>
        </w:numPr>
      </w:pPr>
      <w:r>
        <w:t xml:space="preserve">Texas Legislature. Senate Bill 1188: Relating to electronic health record requirements; authorizing a civil penalty. 89th Legislature, Regular Session. Signed June 20, 2025; effective September 1, 2025 (data localization provisions effective January 1, 2026).</w:t>
      </w:r>
    </w:p>
    <w:p>
      <w:pPr>
        <w:numPr>
          <w:ilvl w:val="0"/>
          <w:numId w:val="1001"/>
        </w:numPr>
      </w:pPr>
      <w:r>
        <w:t xml:space="preserve">Texas Legislature. House Bill 149: Texas Responsible AI Governance Act (TRAIGA); general requirements for automated decision systems. 89th Legislature, Regular Session, effective January 1, 2026.</w:t>
      </w:r>
    </w:p>
    <w:p>
      <w:pPr>
        <w:numPr>
          <w:ilvl w:val="0"/>
          <w:numId w:val="1001"/>
        </w:numPr>
      </w:pPr>
      <w:r>
        <w:t xml:space="preserve">Health Level Seven International. FHIR Release 4 (R4): HL7 FHIR Standard for Healthcare Data Exchange. Ann Arbor, MI: HL7 International; 2019. Available from: https://hl7.org/fhir/R4/.</w:t>
      </w:r>
    </w:p>
    <w:p>
      <w:pPr>
        <w:numPr>
          <w:ilvl w:val="0"/>
          <w:numId w:val="1001"/>
        </w:numPr>
      </w:pPr>
      <w:r>
        <w:t xml:space="preserve">CMS/Palmetto GBA. Local Coverage Determination (LCD): MolDX: Molecular Diagnostic Tests (MDT) (L35025).</w:t>
      </w:r>
    </w:p>
    <w:p>
      <w:pPr>
        <w:numPr>
          <w:ilvl w:val="0"/>
          <w:numId w:val="1001"/>
        </w:numPr>
      </w:pPr>
      <w:r>
        <w:t xml:space="preserve">Chen T, Guestrin C. XGBoost: A scalable tree boosting system. In: Proceedings of the 22nd ACM SIGKDD International Conference on Knowledge Discovery and Data Mining. New York: ACM; 2016:785–794.</w:t>
      </w:r>
    </w:p>
    <w:p>
      <w:r>
        <w:pict>
          <v:rect style="width:0;height:1.5pt" o:hralign="center" o:hrstd="t" o:hr="t"/>
        </w:pict>
      </w:r>
    </w:p>
    <w:p>
      <w:pPr>
        <w:pStyle w:val="FirstParagraph"/>
      </w:pPr>
      <w:r>
        <w:rPr>
          <w:iCs/>
          <w:i/>
        </w:rPr>
        <w:t xml:space="preserve">Correspondence:</w:t>
      </w:r>
      <w:r>
        <w:t xml:space="preserve"> </w:t>
      </w:r>
      <w:r>
        <w:t xml:space="preserve">Rambabu Vadlamudi, Ardia Health Labs, Argyle, TX. Email: [contact via institutional affiliation]</w:t>
      </w:r>
    </w:p>
    <w:p>
      <w:pPr>
        <w:pStyle w:val="BodyText"/>
      </w:pPr>
      <w:r>
        <w:rPr>
          <w:iCs/>
          <w:i/>
        </w:rPr>
        <w:t xml:space="preserve">Conflict of Interest Disclosure:</w:t>
      </w:r>
      <w:r>
        <w:t xml:space="preserve"> </w:t>
      </w:r>
      <w:r>
        <w:t xml:space="preserve">Rambabu Vadlamudi and Manasa Jampani are founders of Ardia Health Labs, the entity that developed the DGP framework described in this paper.</w:t>
      </w:r>
    </w:p>
    <w:p>
      <w:pPr>
        <w:pStyle w:val="BodyText"/>
      </w:pPr>
      <w:r>
        <w:rPr>
          <w:iCs/>
          <w:i/>
        </w:rPr>
        <w:t xml:space="preserve">Data Availability:</w:t>
      </w:r>
      <w:r>
        <w:t xml:space="preserve"> </w:t>
      </w:r>
      <w:r>
        <w:t xml:space="preserve">Claim-level data used in the evaluation are subject to data use agreements and cannot be publicly released. Aggregate performance metrics and the rule corpus architecture are available from the corresponding author upon reasonable request.</w:t>
      </w:r>
    </w:p>
    <w:p>
      <w:pPr>
        <w:pStyle w:val="BodyText"/>
      </w:pPr>
      <w:r>
        <w:rPr>
          <w:iCs/>
          <w:i/>
        </w:rPr>
        <w:t xml:space="preserve">Ethics:</w:t>
      </w:r>
      <w:r>
        <w:t xml:space="preserve"> </w:t>
      </w:r>
      <w:r>
        <w:t xml:space="preserve">All claim data were analyzed under a data use agreement with de-identification per HIPAA Safe Harbor standard. No individual patient data are reported.</w:t>
      </w:r>
    </w:p>
    <w:p>
      <w:r>
        <w:pict>
          <v:rect style="width:0;height:1.5pt" o:hralign="center" o:hrstd="t" o:hr="t"/>
        </w:pict>
      </w:r>
    </w:p>
    <w:bookmarkEnd w:id="46"/>
    <w:bookmarkStart w:id="47" w:name="correction-note"/>
    <w:p>
      <w:pPr>
        <w:pStyle w:val="Heading2"/>
      </w:pPr>
      <w:r>
        <w:t xml:space="preserve">Correction Note</w:t>
      </w:r>
    </w:p>
    <w:p>
      <w:pPr>
        <w:pStyle w:val="FirstParagraph"/>
      </w:pPr>
      <w:r>
        <w:rPr>
          <w:iCs/>
          <w:i/>
        </w:rPr>
        <w:t xml:space="preserve">(Internal tracking only — not part of the submitted manuscript.)</w:t>
      </w:r>
    </w:p>
    <w:p>
      <w:pPr>
        <w:pStyle w:val="BodyText"/>
      </w:pPr>
      <w:r>
        <w:t xml:space="preserve">This version corrects citation-fabrication and citation-accuracy issues identified by a fact-checking audit (web + PubMed verification) of the original draft. Reference numbers below refer to the</w:t>
      </w:r>
      <w:r>
        <w:t xml:space="preserve"> </w:t>
      </w:r>
      <w:r>
        <w:rPr>
          <w:bCs/>
          <w:b/>
        </w:rPr>
        <w:t xml:space="preserve">new</w:t>
      </w:r>
      <w:r>
        <w:t xml:space="preserve"> </w:t>
      </w:r>
      <w:r>
        <w:t xml:space="preserve">(corrected) numbering.</w:t>
      </w:r>
    </w:p>
    <w:p>
      <w:pPr>
        <w:numPr>
          <w:ilvl w:val="0"/>
          <w:numId w:val="1002"/>
        </w:numPr>
        <w:pStyle w:val="Compact"/>
      </w:pPr>
      <w:r>
        <w:rPr>
          <w:bCs/>
          <w:b/>
        </w:rPr>
        <w:t xml:space="preserve">New Ref 1</w:t>
      </w:r>
      <w:r>
        <w:t xml:space="preserve"> </w:t>
      </w:r>
      <w:r>
        <w:t xml:space="preserve">(was Ref 1, CMS Federal Register 2016): Corrected issue number and added Federal Register document number (2016-14531); previously cited an incorrect issue number.</w:t>
      </w:r>
    </w:p>
    <w:p>
      <w:pPr>
        <w:numPr>
          <w:ilvl w:val="0"/>
          <w:numId w:val="1002"/>
        </w:numPr>
        <w:pStyle w:val="Compact"/>
      </w:pPr>
      <w:r>
        <w:rPr>
          <w:bCs/>
          <w:b/>
        </w:rPr>
        <w:t xml:space="preserve">New Ref 2</w:t>
      </w:r>
      <w:r>
        <w:t xml:space="preserve"> </w:t>
      </w:r>
      <w:r>
        <w:t xml:space="preserve">(was Ref 2,</w:t>
      </w:r>
      <w:r>
        <w:t xml:space="preserve"> </w:t>
      </w:r>
      <w:r>
        <w:t xml:space="preserve">“</w:t>
      </w:r>
      <w:r>
        <w:t xml:space="preserve">CMS-1747-F</w:t>
      </w:r>
      <w:r>
        <w:t xml:space="preserve">”</w:t>
      </w:r>
      <w:r>
        <w:t xml:space="preserve">): The original citation was fabricated — CMS-1747-F is an unrelated Home Health rule. Replaced with the correct CMS CY2023 Physician Fee Schedule rule (87 FR 69404) covering CLFS-related reporting changes.</w:t>
      </w:r>
    </w:p>
    <w:p>
      <w:pPr>
        <w:numPr>
          <w:ilvl w:val="0"/>
          <w:numId w:val="1002"/>
        </w:numPr>
        <w:pStyle w:val="Compact"/>
      </w:pPr>
      <w:r>
        <w:rPr>
          <w:bCs/>
          <w:b/>
        </w:rPr>
        <w:t xml:space="preserve">Removed</w:t>
      </w:r>
      <w:r>
        <w:t xml:space="preserve"> </w:t>
      </w:r>
      <w:r>
        <w:t xml:space="preserve">(was Ref 3,</w:t>
      </w:r>
      <w:r>
        <w:t xml:space="preserve"> </w:t>
      </w:r>
      <w:r>
        <w:t xml:space="preserve">“</w:t>
      </w:r>
      <w:r>
        <w:t xml:space="preserve">ACLA 2024 PAMA Impact Survey</w:t>
      </w:r>
      <w:r>
        <w:t xml:space="preserve">”</w:t>
      </w:r>
      <w:r>
        <w:t xml:space="preserve">): Fabricated — no such ACLA report exists. Reference deleted; the sentence in Section 1 asserting</w:t>
      </w:r>
      <w:r>
        <w:t xml:space="preserve"> </w:t>
      </w:r>
      <w:r>
        <w:t xml:space="preserve">“</w:t>
      </w:r>
      <w:r>
        <w:t xml:space="preserve">&gt;50% of independent labs evaluating market exit</w:t>
      </w:r>
      <w:r>
        <w:t xml:space="preserve">”</w:t>
      </w:r>
      <w:r>
        <w:t xml:space="preserve"> </w:t>
      </w:r>
      <w:r>
        <w:t xml:space="preserve">(originally cited to this source) was deleted; the</w:t>
      </w:r>
      <w:r>
        <w:t xml:space="preserve"> </w:t>
      </w:r>
      <w:r>
        <w:t xml:space="preserve">“</w:t>
      </w:r>
      <w:r>
        <w:t xml:space="preserve">Projected Market Exit Rate</w:t>
      </w:r>
      <w:r>
        <w:t xml:space="preserve">”</w:t>
      </w:r>
      <w:r>
        <w:t xml:space="preserve"> </w:t>
      </w:r>
      <w:r>
        <w:t xml:space="preserve">column and its footnote were removed from Table 1; prose references to</w:t>
      </w:r>
      <w:r>
        <w:t xml:space="preserve"> </w:t>
      </w:r>
      <w:r>
        <w:t xml:space="preserve">“</w:t>
      </w:r>
      <w:r>
        <w:t xml:space="preserve">ACLA</w:t>
      </w:r>
      <w:r>
        <w:t xml:space="preserve">”</w:t>
      </w:r>
      <w:r>
        <w:t xml:space="preserve"> </w:t>
      </w:r>
      <w:r>
        <w:t xml:space="preserve">in Section 5.1 and Section 5.5 were rephrased to remove the unsupported attribution without inventing a replacement statistic.</w:t>
      </w:r>
    </w:p>
    <w:p>
      <w:pPr>
        <w:numPr>
          <w:ilvl w:val="0"/>
          <w:numId w:val="1002"/>
        </w:numPr>
        <w:pStyle w:val="Compact"/>
      </w:pPr>
      <w:r>
        <w:rPr>
          <w:bCs/>
          <w:b/>
        </w:rPr>
        <w:t xml:space="preserve">New Ref 3</w:t>
      </w:r>
      <w:r>
        <w:t xml:space="preserve"> </w:t>
      </w:r>
      <w:r>
        <w:t xml:space="preserve">(was Ref 4, XiFin report): Unchanged — verified accurate. Renumbered only.</w:t>
      </w:r>
    </w:p>
    <w:p>
      <w:pPr>
        <w:numPr>
          <w:ilvl w:val="0"/>
          <w:numId w:val="1002"/>
        </w:numPr>
        <w:pStyle w:val="Compact"/>
      </w:pPr>
      <w:r>
        <w:rPr>
          <w:bCs/>
          <w:b/>
        </w:rPr>
        <w:t xml:space="preserve">New Ref 4</w:t>
      </w:r>
      <w:r>
        <w:t xml:space="preserve"> </w:t>
      </w:r>
      <w:r>
        <w:t xml:space="preserve">(was Ref 5, Georgetown JAMA article): Original citation had the wrong issue/page (cited as 8(3):e250412). Replaced with the correct citation: Kang, Odouard, Gresenz, JAMA Netw Open 2025;8(4):e255785.</w:t>
      </w:r>
    </w:p>
    <w:p>
      <w:pPr>
        <w:numPr>
          <w:ilvl w:val="0"/>
          <w:numId w:val="1002"/>
        </w:numPr>
        <w:pStyle w:val="Compact"/>
      </w:pPr>
      <w:r>
        <w:rPr>
          <w:bCs/>
          <w:b/>
        </w:rPr>
        <w:t xml:space="preserve">New Ref 5</w:t>
      </w:r>
      <w:r>
        <w:t xml:space="preserve"> </w:t>
      </w:r>
      <w:r>
        <w:t xml:space="preserve">(was Ref 6,</w:t>
      </w:r>
      <w:r>
        <w:t xml:space="preserve"> </w:t>
      </w:r>
      <w:r>
        <w:t xml:space="preserve">“</w:t>
      </w:r>
      <w:r>
        <w:t xml:space="preserve">Kim D</w:t>
      </w:r>
      <w:r>
        <w:t xml:space="preserve">”</w:t>
      </w:r>
      <w:r>
        <w:t xml:space="preserve"> </w:t>
      </w:r>
      <w:r>
        <w:t xml:space="preserve">Deep Claim): Original citation had the wrong author attribution and title. Replaced with the correct citation (Kim BH, Sridharan S, Atwal A, Ganapathi V, arXiv:2007.06229). Body text in Section 2.3 and Section 5.3 updated to reflect the corrected multi-author attribution and title framing; no new statistics were added.</w:t>
      </w:r>
    </w:p>
    <w:p>
      <w:pPr>
        <w:numPr>
          <w:ilvl w:val="0"/>
          <w:numId w:val="1002"/>
        </w:numPr>
        <w:pStyle w:val="Compact"/>
      </w:pPr>
      <w:r>
        <w:rPr>
          <w:bCs/>
          <w:b/>
        </w:rPr>
        <w:t xml:space="preserve">New Ref 6</w:t>
      </w:r>
      <w:r>
        <w:t xml:space="preserve"> </w:t>
      </w:r>
      <w:r>
        <w:t xml:space="preserve">(was Ref 7,</w:t>
      </w:r>
      <w:r>
        <w:t xml:space="preserve"> </w:t>
      </w:r>
      <w:r>
        <w:t xml:space="preserve">“</w:t>
      </w:r>
      <w:r>
        <w:t xml:space="preserve">Johnson et al., Inf Syst Front</w:t>
      </w:r>
      <w:r>
        <w:t xml:space="preserve">”</w:t>
      </w:r>
      <w:r>
        <w:t xml:space="preserve">): Original citation had a fabricated author list, title, and page range. Replaced with the correct citation (Johnson M, Albizri A, Harfouche A, Inf Syst Front. 2023;25(6):2179-2195). The body text’s specific claim of</w:t>
      </w:r>
      <w:r>
        <w:t xml:space="preserve"> </w:t>
      </w:r>
      <w:r>
        <w:t xml:space="preserve">“</w:t>
      </w:r>
      <w:r>
        <w:t xml:space="preserve">AdaBoost ensemble methods… AUROC of 0.83</w:t>
      </w:r>
      <w:r>
        <w:t xml:space="preserve">”</w:t>
      </w:r>
      <w:r>
        <w:t xml:space="preserve"> </w:t>
      </w:r>
      <w:r>
        <w:t xml:space="preserve">(Sections 2.3 and 5.3) was tied to the fabricated citation and was not verifiable against the corrected source, so it was removed/rephrased rather than replaced with an invented figure.</w:t>
      </w:r>
    </w:p>
    <w:p>
      <w:pPr>
        <w:numPr>
          <w:ilvl w:val="0"/>
          <w:numId w:val="1002"/>
        </w:numPr>
        <w:pStyle w:val="Compact"/>
      </w:pPr>
      <w:r>
        <w:rPr>
          <w:bCs/>
          <w:b/>
        </w:rPr>
        <w:t xml:space="preserve">New Ref 7</w:t>
      </w:r>
      <w:r>
        <w:t xml:space="preserve"> </w:t>
      </w:r>
      <w:r>
        <w:t xml:space="preserve">(was Ref 8, MedPAC June 2021 Ch. 9): Unchanged in substance — citation format updated per audit guidance. Renumbered only.</w:t>
      </w:r>
    </w:p>
    <w:p>
      <w:pPr>
        <w:numPr>
          <w:ilvl w:val="0"/>
          <w:numId w:val="1002"/>
        </w:numPr>
        <w:pStyle w:val="Compact"/>
      </w:pPr>
      <w:r>
        <w:rPr>
          <w:bCs/>
          <w:b/>
        </w:rPr>
        <w:t xml:space="preserve">New Ref 8</w:t>
      </w:r>
      <w:r>
        <w:t xml:space="preserve"> </w:t>
      </w:r>
      <w:r>
        <w:t xml:space="preserve">(was Ref 9,</w:t>
      </w:r>
      <w:r>
        <w:t xml:space="preserve"> </w:t>
      </w:r>
      <w:r>
        <w:t xml:space="preserve">“</w:t>
      </w:r>
      <w:r>
        <w:t xml:space="preserve">Nichols et al., Clin Chem</w:t>
      </w:r>
      <w:r>
        <w:t xml:space="preserve">”</w:t>
      </w:r>
      <w:r>
        <w:t xml:space="preserve">): Original citation had a fabricated title and author list. Replaced with the correct citation (Nichols JH, Stine VG, Forsman RW, Hilborne LH, Passiment EB, Radensky P, Root CB, Stein E, Clin Chem. 2019;65(6):727-732).</w:t>
      </w:r>
    </w:p>
    <w:p>
      <w:pPr>
        <w:numPr>
          <w:ilvl w:val="0"/>
          <w:numId w:val="1002"/>
        </w:numPr>
        <w:pStyle w:val="Compact"/>
      </w:pPr>
      <w:r>
        <w:rPr>
          <w:bCs/>
          <w:b/>
        </w:rPr>
        <w:t xml:space="preserve">New Ref 9</w:t>
      </w:r>
      <w:r>
        <w:t xml:space="preserve"> </w:t>
      </w:r>
      <w:r>
        <w:t xml:space="preserve">(was Ref 10, Texas SB 1188): Original caption was incorrect. Corrected to the real caption (</w:t>
      </w:r>
      <w:r>
        <w:t xml:space="preserve">“</w:t>
      </w:r>
      <w:r>
        <w:t xml:space="preserve">Relating to electronic health record requirements; authorizing a civil penalty</w:t>
      </w:r>
      <w:r>
        <w:t xml:space="preserve">”</w:t>
      </w:r>
      <w:r>
        <w:t xml:space="preserve">), with correct signing date (June 20, 2025), effective date (September 1, 2025), and data localization effective date (January 1, 2026).</w:t>
      </w:r>
    </w:p>
    <w:p>
      <w:pPr>
        <w:numPr>
          <w:ilvl w:val="0"/>
          <w:numId w:val="1002"/>
        </w:numPr>
        <w:pStyle w:val="Compact"/>
      </w:pPr>
      <w:r>
        <w:rPr>
          <w:bCs/>
          <w:b/>
        </w:rPr>
        <w:t xml:space="preserve">New Ref 10</w:t>
      </w:r>
      <w:r>
        <w:t xml:space="preserve"> </w:t>
      </w:r>
      <w:r>
        <w:t xml:space="preserve">(was Ref 11, Texas HB 149/TRAIGA): The original citation and body text (Section 2.4, Section 3.3, Section 6) incorrectly claimed TRAIGA contains a</w:t>
      </w:r>
      <w:r>
        <w:t xml:space="preserve"> </w:t>
      </w:r>
      <w:r>
        <w:t xml:space="preserve">“</w:t>
      </w:r>
      <w:r>
        <w:t xml:space="preserve">consequential healthcare decisions</w:t>
      </w:r>
      <w:r>
        <w:t xml:space="preserve">”</w:t>
      </w:r>
      <w:r>
        <w:t xml:space="preserve"> </w:t>
      </w:r>
      <w:r>
        <w:t xml:space="preserve">framework. As enacted, TRAIGA does not contain this provision — it was removed before passage; that regulatory function belongs to the companion statute SB 1188. Reference caption and all body-text claims about TRAIGA’s healthcare-specific scope were corrected accordingly.</w:t>
      </w:r>
    </w:p>
    <w:p>
      <w:pPr>
        <w:numPr>
          <w:ilvl w:val="0"/>
          <w:numId w:val="1002"/>
        </w:numPr>
        <w:pStyle w:val="Compact"/>
      </w:pPr>
      <w:r>
        <w:rPr>
          <w:bCs/>
          <w:b/>
        </w:rPr>
        <w:t xml:space="preserve">New Ref 11</w:t>
      </w:r>
      <w:r>
        <w:t xml:space="preserve"> </w:t>
      </w:r>
      <w:r>
        <w:t xml:space="preserve">(was Ref 12, FHIR R4): Unchanged. Renumbered only.</w:t>
      </w:r>
    </w:p>
    <w:p>
      <w:pPr>
        <w:numPr>
          <w:ilvl w:val="0"/>
          <w:numId w:val="1002"/>
        </w:numPr>
        <w:pStyle w:val="Compact"/>
      </w:pPr>
      <w:r>
        <w:rPr>
          <w:bCs/>
          <w:b/>
        </w:rPr>
        <w:t xml:space="preserve">New Ref 12</w:t>
      </w:r>
      <w:r>
        <w:t xml:space="preserve"> </w:t>
      </w:r>
      <w:r>
        <w:t xml:space="preserve">(was Ref 13,</w:t>
      </w:r>
      <w:r>
        <w:t xml:space="preserve"> </w:t>
      </w:r>
      <w:r>
        <w:t xml:space="preserve">“</w:t>
      </w:r>
      <w:r>
        <w:t xml:space="preserve">Palmetto GBA LCD L37515</w:t>
      </w:r>
      <w:r>
        <w:t xml:space="preserve">”</w:t>
      </w:r>
      <w:r>
        <w:t xml:space="preserve">): Fabricated — this LCD number does not exist. Replaced with the correct LCD citation (MolDX: Molecular Diagnostic Tests (MDT), L35025). The in-text LCD number example in Section 3.2 was also corrected from L37515 to L35025 for consistency.</w:t>
      </w:r>
    </w:p>
    <w:p>
      <w:pPr>
        <w:numPr>
          <w:ilvl w:val="0"/>
          <w:numId w:val="1002"/>
        </w:numPr>
        <w:pStyle w:val="Compact"/>
      </w:pPr>
      <w:r>
        <w:rPr>
          <w:bCs/>
          <w:b/>
        </w:rPr>
        <w:t xml:space="preserve">New Ref 13</w:t>
      </w:r>
      <w:r>
        <w:t xml:space="preserve"> </w:t>
      </w:r>
      <w:r>
        <w:t xml:space="preserve">(was Ref 14, XGBoost): Unchanged. Renumbered only.</w:t>
      </w:r>
    </w:p>
    <w:p>
      <w:pPr>
        <w:numPr>
          <w:ilvl w:val="0"/>
          <w:numId w:val="1002"/>
        </w:numPr>
        <w:pStyle w:val="Compact"/>
      </w:pPr>
      <w:r>
        <w:rPr>
          <w:bCs/>
          <w:b/>
        </w:rPr>
        <w:t xml:space="preserve">Removed</w:t>
      </w:r>
      <w:r>
        <w:t xml:space="preserve"> </w:t>
      </w:r>
      <w:r>
        <w:t xml:space="preserve">(was Ref 15, Simopoulos &amp; Hogarth, Am J Clin Pathol 2022): Fabricated — no matching article found. Reference deleted. This reference was not cited anywhere in the body text with an in-text marker, so no body-text deletion or rephrasing was required.</w:t>
      </w:r>
    </w:p>
    <w:p>
      <w:pPr>
        <w:pStyle w:val="FirstParagraph"/>
      </w:pPr>
      <w:r>
        <w:t xml:space="preserve">All in-text citation markers throughout the paper (Introduction, Background, Methods, Results, Discussion, Conclusion, Table 1) were renumbered sequentially to match the corrected reference list order of first appearance. No new facts, statistics, or citations were introduced beyond those explicitly supplied in the audit’s fix list or already legitimately present in the original draft.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2026-07-01T07:02:44Z</dcterms:created>
  <dcterms:modified xsi:type="dcterms:W3CDTF">2026-07-01T07:02:44Z</dcterms:modified>
</cp:coreProperties>
</file>

<file path=docProps/custom.xml><?xml version="1.0" encoding="utf-8"?>
<Properties xmlns="http://schemas.openxmlformats.org/officeDocument/2006/custom-properties" xmlns:vt="http://schemas.openxmlformats.org/officeDocument/2006/docPropsVTypes"/>
</file>