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60"/>
      </w:pPr>
      <w:r>
        <w:rPr>
          <w:rFonts w:ascii="Arial" w:cs="Arial" w:eastAsia="Arial" w:hAnsi="Arial"/>
          <w:sz w:val="22"/>
          <w:szCs w:val="22"/>
        </w:rPr>
        <w:t xml:space="preserve"/>
      </w:r>
    </w:p>
    <w:p>
      <w:pPr>
        <w:spacing w:before="0" w:after="40"/>
        <w:jc w:val="center"/>
      </w:pPr>
      <w:r>
        <w:rPr>
          <w:rFonts w:ascii="Arial" w:cs="Arial" w:eastAsia="Arial" w:hAnsi="Arial"/>
          <w:b/>
          <w:bCs/>
          <w:color w:val="0D9488"/>
          <w:spacing w:val="150"/>
          <w:sz w:val="72"/>
          <w:szCs w:val="72"/>
        </w:rPr>
        <w:t xml:space="preserve">ARDIA HEALTH</w:t>
      </w:r>
    </w:p>
    <w:p>
      <w:pPr>
        <w:spacing w:before="0" w:after="40"/>
        <w:jc w:val="center"/>
      </w:pPr>
      <w:r>
        <w:rPr>
          <w:rFonts w:ascii="Arial" w:cs="Arial" w:eastAsia="Arial" w:hAnsi="Arial"/>
          <w:b w:val="false"/>
          <w:bCs w:val="false"/>
          <w:color w:val="0A1628"/>
          <w:spacing w:val="80"/>
          <w:sz w:val="28"/>
          <w:szCs w:val="28"/>
        </w:rPr>
        <w:t xml:space="preserve">WHITE PAPER &amp; BUSINESS PLAN</w:t>
      </w:r>
    </w:p>
    <w:p>
      <w:pPr>
        <w:pBdr>
          <w:bottom w:val="single" w:color="0D9488" w:sz="6" w:space="8"/>
        </w:pBdr>
        <w:spacing w:before="0" w:after="280"/>
        <w:jc w:val="center"/>
      </w:pPr>
      <w:r>
        <w:rPr>
          <w:rFonts w:ascii="Arial" w:cs="Arial" w:eastAsia="Arial" w:hAnsi="Arial"/>
          <w:i/>
          <w:iCs/>
          <w:color w:val="475569"/>
          <w:sz w:val="22"/>
          <w:szCs w:val="22"/>
        </w:rPr>
        <w:t xml:space="preserve">March 2026 — Series Seed</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color w:val="0A1628"/>
          <w:sz w:val="28"/>
          <w:szCs w:val="28"/>
        </w:rPr>
        <w:t xml:space="preserve">The First AI-Native Revenue Recovery Platform</w:t>
      </w:r>
    </w:p>
    <w:p>
      <w:pPr>
        <w:spacing w:before="0" w:after="80"/>
        <w:jc w:val="center"/>
      </w:pPr>
      <w:r>
        <w:rPr>
          <w:rFonts w:ascii="Arial" w:cs="Arial" w:eastAsia="Arial" w:hAnsi="Arial"/>
          <w:b w:val="false"/>
          <w:bCs w:val="false"/>
          <w:color w:val="475569"/>
          <w:sz w:val="24"/>
          <w:szCs w:val="24"/>
        </w:rPr>
        <w:t xml:space="preserve">Built Exclusively for Independent Clinical Laboratories</w:t>
      </w:r>
    </w:p>
    <w:p>
      <w:pPr>
        <w:spacing w:before="0" w:after="4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200"/>
              <w:left w:type="dxa" w:w="360"/>
              <w:bottom w:type="dxa" w:w="200"/>
              <w:right w:type="dxa" w:w="360"/>
            </w:tcMar>
          </w:tcPr>
          <w:p>
            <w:pPr>
              <w:spacing w:before="0" w:after="80"/>
              <w:jc w:val="left"/>
            </w:pPr>
            <w:r>
              <w:rPr>
                <w:rFonts w:ascii="Arial" w:cs="Arial" w:eastAsia="Arial" w:hAnsi="Arial"/>
                <w:b/>
                <w:bCs/>
                <w:color w:val="94A3B8"/>
                <w:sz w:val="18"/>
                <w:szCs w:val="18"/>
              </w:rPr>
              <w:t xml:space="preserve">Company</w:t>
            </w:r>
          </w:p>
          <w:p>
            <w:pPr>
              <w:spacing w:before="0" w:after="80"/>
              <w:jc w:val="left"/>
            </w:pPr>
            <w:r>
              <w:rPr>
                <w:rFonts w:ascii="Arial" w:cs="Arial" w:eastAsia="Arial" w:hAnsi="Arial"/>
                <w:b/>
                <w:bCs/>
                <w:color w:val="FFFFFF"/>
                <w:sz w:val="22"/>
                <w:szCs w:val="22"/>
              </w:rPr>
              <w:t xml:space="preserve">Ardia Health</w:t>
            </w:r>
          </w:p>
          <w:p>
            <w:pPr>
              <w:spacing w:before="0" w:after="80"/>
              <w:jc w:val="left"/>
            </w:pPr>
            <w:r>
              <w:rPr>
                <w:rFonts w:ascii="Arial" w:cs="Arial" w:eastAsia="Arial" w:hAnsi="Arial"/>
                <w:b/>
                <w:bCs/>
                <w:color w:val="94A3B8"/>
                <w:sz w:val="18"/>
                <w:szCs w:val="18"/>
              </w:rPr>
              <w:t xml:space="preserve">Headquarters</w:t>
            </w:r>
          </w:p>
          <w:p>
            <w:pPr>
              <w:spacing w:before="0" w:after="80"/>
              <w:jc w:val="left"/>
            </w:pPr>
            <w:r>
              <w:rPr>
                <w:rFonts w:ascii="Arial" w:cs="Arial" w:eastAsia="Arial" w:hAnsi="Arial"/>
                <w:color w:val="FFFFFF"/>
                <w:sz w:val="22"/>
                <w:szCs w:val="22"/>
              </w:rPr>
              <w:t xml:space="preserve">Argyle (Flower Mound), TX 76226</w:t>
            </w:r>
          </w:p>
          <w:p>
            <w:pPr>
              <w:spacing w:before="0" w:after="80"/>
              <w:jc w:val="left"/>
            </w:pPr>
            <w:r>
              <w:rPr>
                <w:rFonts w:ascii="Arial" w:cs="Arial" w:eastAsia="Arial" w:hAnsi="Arial"/>
                <w:b/>
                <w:bCs/>
                <w:color w:val="94A3B8"/>
                <w:sz w:val="18"/>
                <w:szCs w:val="18"/>
              </w:rPr>
              <w:t xml:space="preserve">Founded</w:t>
            </w:r>
          </w:p>
          <w:p>
            <w:pPr>
              <w:spacing w:before="0" w:after="0"/>
              <w:jc w:val="left"/>
            </w:pPr>
            <w:r>
              <w:rPr>
                <w:rFonts w:ascii="Arial" w:cs="Arial" w:eastAsia="Arial" w:hAnsi="Arial"/>
                <w:color w:val="FFFFFF"/>
                <w:sz w:val="22"/>
                <w:szCs w:val="22"/>
              </w:rPr>
              <w:t xml:space="preserve">January 2026</w:t>
            </w:r>
          </w:p>
        </w:tc>
        <w:tc>
          <w:tcPr>
            <w:tcW w:type="dxa" w:w="4680"/>
            <w:tcBorders>
              <w:top w:val="none" w:color="FFFFFF" w:sz="0"/>
              <w:left w:val="none" w:color="FFFFFF" w:sz="0"/>
              <w:bottom w:val="none" w:color="FFFFFF" w:sz="0"/>
              <w:right w:val="none" w:color="FFFFFF" w:sz="0"/>
            </w:tcBorders>
            <w:shd w:fill="0D9488" w:val="clear"/>
            <w:tcMar>
              <w:top w:type="dxa" w:w="200"/>
              <w:left w:type="dxa" w:w="360"/>
              <w:bottom w:type="dxa" w:w="200"/>
              <w:right w:type="dxa" w:w="360"/>
            </w:tcMar>
          </w:tcPr>
          <w:p>
            <w:pPr>
              <w:spacing w:before="0" w:after="80"/>
              <w:jc w:val="left"/>
            </w:pPr>
            <w:r>
              <w:rPr>
                <w:rFonts w:ascii="Arial" w:cs="Arial" w:eastAsia="Arial" w:hAnsi="Arial"/>
                <w:b/>
                <w:bCs/>
                <w:color w:val="CCFBF1"/>
                <w:sz w:val="18"/>
                <w:szCs w:val="18"/>
              </w:rPr>
              <w:t xml:space="preserve">Round</w:t>
            </w:r>
          </w:p>
          <w:p>
            <w:pPr>
              <w:spacing w:before="0" w:after="80"/>
              <w:jc w:val="left"/>
            </w:pPr>
            <w:r>
              <w:rPr>
                <w:rFonts w:ascii="Arial" w:cs="Arial" w:eastAsia="Arial" w:hAnsi="Arial"/>
                <w:b/>
                <w:bCs/>
                <w:color w:val="FFFFFF"/>
                <w:sz w:val="22"/>
                <w:szCs w:val="22"/>
              </w:rPr>
              <w:t xml:space="preserve">$3.5M Seed (SAFE)</w:t>
            </w:r>
          </w:p>
          <w:p>
            <w:pPr>
              <w:spacing w:before="0" w:after="80"/>
              <w:jc w:val="left"/>
            </w:pPr>
            <w:r>
              <w:rPr>
                <w:rFonts w:ascii="Arial" w:cs="Arial" w:eastAsia="Arial" w:hAnsi="Arial"/>
                <w:b/>
                <w:bCs/>
                <w:color w:val="CCFBF1"/>
                <w:sz w:val="18"/>
                <w:szCs w:val="18"/>
              </w:rPr>
              <w:t xml:space="preserve">Valuation Cap</w:t>
            </w:r>
          </w:p>
          <w:p>
            <w:pPr>
              <w:spacing w:before="0" w:after="80"/>
              <w:jc w:val="left"/>
            </w:pPr>
            <w:r>
              <w:rPr>
                <w:rFonts w:ascii="Arial" w:cs="Arial" w:eastAsia="Arial" w:hAnsi="Arial"/>
                <w:color w:val="FFFFFF"/>
                <w:sz w:val="22"/>
                <w:szCs w:val="22"/>
              </w:rPr>
              <w:t xml:space="preserve">$18M Post-Money</w:t>
            </w:r>
          </w:p>
          <w:p>
            <w:pPr>
              <w:spacing w:before="0" w:after="80"/>
              <w:jc w:val="left"/>
            </w:pPr>
            <w:r>
              <w:rPr>
                <w:rFonts w:ascii="Arial" w:cs="Arial" w:eastAsia="Arial" w:hAnsi="Arial"/>
                <w:b/>
                <w:bCs/>
                <w:color w:val="CCFBF1"/>
                <w:sz w:val="18"/>
                <w:szCs w:val="18"/>
              </w:rPr>
              <w:t xml:space="preserve">Contact</w:t>
            </w:r>
          </w:p>
          <w:p>
            <w:pPr>
              <w:spacing w:before="0" w:after="0"/>
              <w:jc w:val="left"/>
            </w:pPr>
            <w:r>
              <w:rPr>
                <w:rFonts w:ascii="Arial" w:cs="Arial" w:eastAsia="Arial" w:hAnsi="Arial"/>
                <w:color w:val="FFFFFF"/>
                <w:sz w:val="22"/>
                <w:szCs w:val="22"/>
              </w:rPr>
              <w:t xml:space="preserve">founders@ardiahealthlabs.com</w:t>
            </w:r>
          </w:p>
        </w:tc>
      </w:tr>
    </w:tbl>
    <w:p>
      <w:pPr>
        <w:spacing w:before="0" w:after="240"/>
      </w:pPr>
      <w:r>
        <w:rPr>
          <w:rFonts w:ascii="Arial" w:cs="Arial" w:eastAsia="Arial" w:hAnsi="Arial"/>
          <w:sz w:val="22"/>
          <w:szCs w:val="22"/>
        </w:rPr>
        <w:t xml:space="preserve"/>
      </w:r>
    </w:p>
    <w:p>
      <w:pPr>
        <w:spacing w:before="80" w:after="0"/>
        <w:jc w:val="center"/>
      </w:pPr>
      <w:r>
        <w:rPr>
          <w:rFonts w:ascii="Arial" w:cs="Arial" w:eastAsia="Arial" w:hAnsi="Arial"/>
          <w:i/>
          <w:iCs/>
          <w:color w:val="475569"/>
          <w:sz w:val="17"/>
          <w:szCs w:val="17"/>
        </w:rPr>
        <w:t xml:space="preserve">This document contains confidential and proprietary information. Distribution is restricted to accredited investors.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Executive Summary</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building the first AI-native revenue recovery platform designed exclusively for the United States' independent clinical laboratory market. While hospital-focused revenue cycle management (RCM) has seen dramatic AI investment — with players like Waystar commanding a $3.5 billion IPO valuation in 2024 and R1 RCM acquired for $8.9 billion — the 7,000+ independent labs that generate approximately 32% of U.S. diagnostic test volume have been entirely ignored by the AI RCM wave. This represents a structural white space that Ardia is purpose-built to capture.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problem is acute and worsening. Independent labs face denial rates of 13.6% to 27% across their testing categories — with molecular diagnostics registering the industry's highest denial rate at 27%. Yet 65% of denied claims are never appealed despite 50–83% appeal win rates when pursued. This translates to an estimated $10–12 billion in annual lab revenue that goes permanently uncollected. Simultaneously, PAMA 2027 Medicare rate cuts (up to 15% per year for three consecutive years, effective January 1, 2027) threaten to accelerate the financial distress that is already causing over 50% of independent labs to consider selling or merging.</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applies a proprietary Neuro-Symbolic Sandwich Architecture — combining large language model clinical reasoning, a 847-rule symbolic engine covering every LCD and NCD policy, and a machine learning outcome predictor trained on denial patterns — to generate evidence-backed appeal briefs in under 90 seconds. The platform processes EDI 835/837 data via FHIR R4 and HL7 integrations, retrieves evidence from 14 medical databases in 340 milliseconds, and maintains a complete audit trail compliant with Texas SB 1188 and TRAIGA (HB 149), the two landmark AI-in-healthcare laws enacted in Texas in 2025–2026.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business model is frictionless for labs: Ardia charges a 15% success fee only on recovered revenue, with zero upfront cost. This alignment of incentives eliminates procurement friction and enables product-led growth. The company is headquartered in the Dallas-Fort Worth metro — the nation's most strategically positioned healthcare AI beachhead, home to two nationally elite ACOs (Baylor Scott &amp; White Quality Alliance with $107.6M in MSSP savings and Southwestern Health Resources ranked #1 nationally for three consecutive years), 7+ independent labs, and 40+ behavioral health organizations.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$3.5M Seed raise </w:t>
            </w:r>
            <w:r>
              <w:rPr>
                <w:rFonts w:ascii="Arial" w:cs="Arial" w:eastAsia="Arial" w:hAnsi="Arial"/>
                <w:color w:val="475569"/>
                <w:sz w:val="22"/>
                <w:szCs w:val="22"/>
              </w:rPr>
              <w:t xml:space="preserve">on a $18M post-money SAFE, targeting 18 months of runway</w:t>
            </w:r>
          </w:p>
          <w:p>
            <w:pPr>
              <w:spacing w:before="60" w:after="60"/>
            </w:pPr>
            <w:r>
              <w:rPr>
                <w:rFonts w:ascii="Arial" w:cs="Arial" w:eastAsia="Arial" w:hAnsi="Arial"/>
                <w:b/>
                <w:bCs/>
                <w:color w:val="0A1628"/>
                <w:sz w:val="22"/>
                <w:szCs w:val="22"/>
              </w:rPr>
              <w:t xml:space="preserve">Milestone unlocked: </w:t>
            </w:r>
            <w:r>
              <w:rPr>
                <w:rFonts w:ascii="Arial" w:cs="Arial" w:eastAsia="Arial" w:hAnsi="Arial"/>
                <w:color w:val="475569"/>
                <w:sz w:val="22"/>
                <w:szCs w:val="22"/>
              </w:rPr>
              <w:t xml:space="preserve">MVP launch → 2 paid pilots → $600K ARR → Series A preparation</w:t>
            </w:r>
          </w:p>
          <w:p>
            <w:pPr>
              <w:spacing w:before="60" w:after="60"/>
            </w:pPr>
            <w:r>
              <w:rPr>
                <w:rFonts w:ascii="Arial" w:cs="Arial" w:eastAsia="Arial" w:hAnsi="Arial"/>
                <w:b/>
                <w:bCs/>
                <w:color w:val="0A1628"/>
                <w:sz w:val="22"/>
                <w:szCs w:val="22"/>
              </w:rPr>
              <w:t xml:space="preserve">5-year ARR target: </w:t>
            </w:r>
            <w:r>
              <w:rPr>
                <w:rFonts w:ascii="Arial" w:cs="Arial" w:eastAsia="Arial" w:hAnsi="Arial"/>
                <w:color w:val="475569"/>
                <w:sz w:val="22"/>
                <w:szCs w:val="22"/>
              </w:rPr>
              <w:t xml:space="preserve">$51M with 340 paying labs, 80% gross margins, 44% EBITDA margins</w:t>
            </w:r>
          </w:p>
          <w:p>
            <w:pPr>
              <w:spacing w:before="60" w:after="60"/>
            </w:pPr>
            <w:r>
              <w:rPr>
                <w:rFonts w:ascii="Arial" w:cs="Arial" w:eastAsia="Arial" w:hAnsi="Arial"/>
                <w:b/>
                <w:bCs/>
                <w:color w:val="0A1628"/>
                <w:sz w:val="22"/>
                <w:szCs w:val="22"/>
              </w:rPr>
              <w:t xml:space="preserve">Contact: </w:t>
            </w:r>
            <w:r>
              <w:rPr>
                <w:rFonts w:ascii="Arial" w:cs="Arial" w:eastAsia="Arial" w:hAnsi="Arial"/>
                <w:color w:val="475569"/>
                <w:sz w:val="22"/>
                <w:szCs w:val="22"/>
              </w:rPr>
              <w:t xml:space="preserve">founders@ardiahealthlabs.com  |  ardiahealthlabs.com</w:t>
            </w:r>
          </w:p>
        </w:tc>
      </w:tr>
    </w:tbl>
    <w:p>
      <w:r>
        <w:br w:type="page"/>
      </w:r>
    </w:p>
    <w:p>
      <w:pPr>
        <w:pBdr>
          <w:top w:val="single" w:color="FFFFFF" w:sz="0"/>
          <w:bottom w:val="single" w:color="FFFFFF" w:sz="0"/>
        </w:pBdr>
        <w:shd w:fill="0A1628" w:val="clear"/>
        <w:spacing w:before="0" w:after="80"/>
        <w:jc w:val="center"/>
      </w:pPr>
      <w:r>
        <w:rPr>
          <w:rFonts w:ascii="Arial" w:cs="Arial" w:eastAsia="Arial" w:hAnsi="Arial"/>
          <w:b/>
          <w:bCs/>
          <w:color w:val="FFFFFF"/>
          <w:spacing w:val="100"/>
          <w:sz w:val="32"/>
          <w:szCs w:val="32"/>
        </w:rPr>
        <w:t xml:space="preserve">PART I — WHITE PAPER</w:t>
      </w:r>
    </w:p>
    <w:p>
      <w:pPr>
        <w:shd w:fill="0A1628" w:val="clear"/>
        <w:spacing w:before="0" w:after="0"/>
        <w:jc w:val="center"/>
      </w:pPr>
      <w:r>
        <w:rPr>
          <w:rFonts w:ascii="Arial" w:cs="Arial" w:eastAsia="Arial" w:hAnsi="Arial"/>
          <w:i/>
          <w:iCs/>
          <w:color w:val="94A3B8"/>
          <w:sz w:val="24"/>
          <w:szCs w:val="24"/>
        </w:rPr>
        <w:t xml:space="preserve">The $12 Billion Problem: Why Independent Clinical Labs Are Bleeding Revenue and How AI Can Stop It</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1. The Crisis Facing Independent Clinical Laboratories</w:t>
      </w:r>
    </w:p>
    <w:p>
      <w:pPr>
        <w:pStyle w:val="Heading2"/>
        <w:spacing w:before="320" w:after="120"/>
      </w:pPr>
      <w:r>
        <w:rPr>
          <w:rFonts w:ascii="Arial" w:cs="Arial" w:eastAsia="Arial" w:hAnsi="Arial"/>
          <w:b/>
          <w:bCs/>
          <w:color w:val="0D9488"/>
          <w:sz w:val="28"/>
          <w:szCs w:val="28"/>
        </w:rPr>
        <w:t xml:space="preserve">1.1 The Scale of the Denial Problem</w:t>
      </w:r>
    </w:p>
    <w:p>
      <w:pPr>
        <w:spacing w:before="80" w:after="120" w:line="360" w:lineRule="auto"/>
        <w:jc w:val="both"/>
      </w:pPr>
      <w:r>
        <w:rPr>
          <w:rFonts w:ascii="Arial" w:cs="Arial" w:eastAsia="Arial" w:hAnsi="Arial"/>
          <w:b w:val="false"/>
          <w:bCs w:val="false"/>
          <w:i w:val="false"/>
          <w:iCs w:val="false"/>
          <w:color w:val="1E293B"/>
          <w:sz w:val="22"/>
          <w:szCs w:val="22"/>
        </w:rPr>
        <w:t xml:space="preserve">The United States clinical laboratory industry processes over 13 billion tests annually across a $96–100 billion market. Independent and physician-office laboratories — the 7,000+ CLIA-certified facilities that are not part of national chains like Quest Diagnostics or Laboratory Corporation of America — account for approximately 32% of this volume, serving rural communities, specialty practices, addiction medicine clinics, and behavioral health organizations that the large reference labs underserve.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Despite their indispensable role in the healthcare system, independent labs face a billing and reimbursement crisis that is systematically destroying their financial viability. Claim denial rates across the independent lab sector average 13.6% industry-wide, but specialty testing categories face dramatically higher rates: molecular diagnostics registers a 27% denial rate — the highest of any category in healthcare — while toxicology labs serving addiction medicine programs face denial rates of 15–22% due to documentation gaps in medical necessity and treatment plan linkage.</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27%</w:t>
            </w:r>
          </w:p>
          <w:p>
            <w:pPr>
              <w:spacing w:before="0" w:after="0"/>
              <w:jc w:val="center"/>
            </w:pPr>
            <w:r>
              <w:rPr>
                <w:rFonts w:ascii="Arial" w:cs="Arial" w:eastAsia="Arial" w:hAnsi="Arial"/>
                <w:color w:val="475569"/>
                <w:sz w:val="18"/>
                <w:szCs w:val="18"/>
              </w:rPr>
              <w:t xml:space="preserve">Molecular Dx denial rate</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65%</w:t>
            </w:r>
          </w:p>
          <w:p>
            <w:pPr>
              <w:spacing w:before="0" w:after="0"/>
              <w:jc w:val="center"/>
            </w:pPr>
            <w:r>
              <w:rPr>
                <w:rFonts w:ascii="Arial" w:cs="Arial" w:eastAsia="Arial" w:hAnsi="Arial"/>
                <w:color w:val="475569"/>
                <w:sz w:val="18"/>
                <w:szCs w:val="18"/>
              </w:rPr>
              <w:t xml:space="preserve">Denials never appealed</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C2626"/>
                <w:sz w:val="48"/>
                <w:szCs w:val="48"/>
              </w:rPr>
              <w:t xml:space="preserve">$12B</w:t>
            </w:r>
          </w:p>
          <w:p>
            <w:pPr>
              <w:spacing w:before="0" w:after="0"/>
              <w:jc w:val="center"/>
            </w:pPr>
            <w:r>
              <w:rPr>
                <w:rFonts w:ascii="Arial" w:cs="Arial" w:eastAsia="Arial" w:hAnsi="Arial"/>
                <w:color w:val="475569"/>
                <w:sz w:val="18"/>
                <w:szCs w:val="18"/>
              </w:rPr>
              <w:t xml:space="preserve">Lost annually</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83%</w:t>
            </w:r>
          </w:p>
          <w:p>
            <w:pPr>
              <w:spacing w:before="0" w:after="0"/>
              <w:jc w:val="center"/>
            </w:pPr>
            <w:r>
              <w:rPr>
                <w:rFonts w:ascii="Arial" w:cs="Arial" w:eastAsia="Arial" w:hAnsi="Arial"/>
                <w:color w:val="475569"/>
                <w:sz w:val="18"/>
                <w:szCs w:val="18"/>
              </w:rPr>
              <w:t xml:space="preserve">Appeal win rate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downstream consequences of this denial rate are compounded by lab staff behavior: industry data from the Healthcare Financial Management Association and LigoLab's 2024 revenue cycle benchmarking report reveal that 65% of denied lab claims are never appealed. This is not a strategic decision — it is a capacity problem. Manual denial rework costs labs $25 to $181 per claim and requires an average of two or more hours of staff time per appeal, making the economics of pursuing low-value denials negative when staff bandwidth is already stretched by the nationwide medical technologist shortage.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When labs do appeal, they win 50–80.7% of the time. This gap between the recoverable revenue and the revenue actually recovered represents the core market opportunity for Ardia Health: converting a structurally abandoned revenue stream into a systematic, AI-automated recovery process.</w:t>
      </w:r>
    </w:p>
    <w:p>
      <w:pPr>
        <w:pStyle w:val="Heading2"/>
        <w:spacing w:before="320" w:after="120"/>
      </w:pPr>
      <w:r>
        <w:rPr>
          <w:rFonts w:ascii="Arial" w:cs="Arial" w:eastAsia="Arial" w:hAnsi="Arial"/>
          <w:b/>
          <w:bCs/>
          <w:color w:val="0D9488"/>
          <w:sz w:val="28"/>
          <w:szCs w:val="28"/>
        </w:rPr>
        <w:t xml:space="preserve">1.2 PAMA 2027: The Coming Cliff</w:t>
      </w:r>
    </w:p>
    <w:p>
      <w:pPr>
        <w:spacing w:before="80" w:after="120" w:line="360" w:lineRule="auto"/>
        <w:jc w:val="both"/>
      </w:pPr>
      <w:r>
        <w:rPr>
          <w:rFonts w:ascii="Arial" w:cs="Arial" w:eastAsia="Arial" w:hAnsi="Arial"/>
          <w:b w:val="false"/>
          <w:bCs w:val="false"/>
          <w:i w:val="false"/>
          <w:iCs w:val="false"/>
          <w:color w:val="1E293B"/>
          <w:sz w:val="22"/>
          <w:szCs w:val="22"/>
        </w:rPr>
        <w:t xml:space="preserve">The Protecting Access to Medicare Act (PAMA) of 2014 established a market-based pricing system for clinical laboratory fee schedule rates. After seven consecutive congressional delays (the most recent of which preserved a moratorium through December 31, 2026), PAMA-mandated cuts are scheduled to resume on January 1, 2027, with cuts of up to 15% per year for three consecutive years — potentially reducing Medicare reimbursement rates for affected lab tests by up to 45% cumulatively by 2029.</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Saving Access to Laboratory Services Act (SALSA) and the RESULTS Act, which would provide long-term relief, remain unpassed as of the date of this document. Industry surveys conducted by the American Clinical Laboratory Association in 2024 found that 50% or more of independent lab operators reported they would consider selling or merging their operations if PAMA cuts take full effect. This creates both urgency and opportunity: labs facing margin compression from reimbursement rate cuts need every claimable dollar, making denial recovery AI economically compelling in a way it was not when rates were stable.</w:t>
      </w:r>
    </w:p>
    <w:p>
      <w:pPr>
        <w:pStyle w:val="Heading2"/>
        <w:spacing w:before="320" w:after="120"/>
      </w:pPr>
      <w:r>
        <w:rPr>
          <w:rFonts w:ascii="Arial" w:cs="Arial" w:eastAsia="Arial" w:hAnsi="Arial"/>
          <w:b/>
          <w:bCs/>
          <w:color w:val="0D9488"/>
          <w:sz w:val="28"/>
          <w:szCs w:val="28"/>
        </w:rPr>
        <w:t xml:space="preserve">1.3 The Battle of AI Bots: Payer vs. Provider</w:t>
      </w:r>
    </w:p>
    <w:p>
      <w:pPr>
        <w:spacing w:before="80" w:after="120" w:line="360" w:lineRule="auto"/>
        <w:jc w:val="both"/>
      </w:pPr>
      <w:r>
        <w:rPr>
          <w:rFonts w:ascii="Arial" w:cs="Arial" w:eastAsia="Arial" w:hAnsi="Arial"/>
          <w:b w:val="false"/>
          <w:bCs w:val="false"/>
          <w:i w:val="false"/>
          <w:iCs w:val="false"/>
          <w:color w:val="1E293B"/>
          <w:sz w:val="22"/>
          <w:szCs w:val="22"/>
        </w:rPr>
        <w:t xml:space="preserve">Perhaps the most significant structural shift in clinical lab reimbursement is the rapid deployment of AI-powered denial engines by commercial payers. Between 2022 and 2025, full AI adoption by insurance companies for claim processing grew from 8% to 34% according to industry tracking data. Payer AI systems — such as UnitedHealth Group's NaviHealth algorithms and Cigna's eviCore platform — are trained specifically to identify documentation deficiencies, coding inconsistencies, and medical necessity gaps that support denial.</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asymmetry is stark: payers have deployed sophisticated AI to deny claims faster and with less human review, while providers — particularly independent labs — are still using manual processes and rules-based billing software designed in the pre-AI era. Only 14% of providers have deployed AI tools to reduce denials, yet 69% of those that have report measurable improvement in denial rates. The inevitable conclusion is that AI-powered denial recovery is not a luxury but a necessity for labs that wish to survive in an environment where their reimbursement adversary has already gone AI-native.</w:t>
      </w:r>
    </w:p>
    <w:p>
      <w:pPr>
        <w:pStyle w:val="Heading2"/>
        <w:spacing w:before="320" w:after="120"/>
      </w:pPr>
      <w:r>
        <w:rPr>
          <w:rFonts w:ascii="Arial" w:cs="Arial" w:eastAsia="Arial" w:hAnsi="Arial"/>
          <w:b/>
          <w:bCs/>
          <w:color w:val="0D9488"/>
          <w:sz w:val="28"/>
          <w:szCs w:val="28"/>
        </w:rPr>
        <w:t xml:space="preserve">1.4 The Regulatory Landscape Creates a First-Mover Advantage</w:t>
      </w:r>
    </w:p>
    <w:p>
      <w:pPr>
        <w:pStyle w:val="Heading3"/>
        <w:spacing w:before="240" w:after="80"/>
      </w:pPr>
      <w:r>
        <w:rPr>
          <w:rFonts w:ascii="Arial" w:cs="Arial" w:eastAsia="Arial" w:hAnsi="Arial"/>
          <w:b/>
          <w:bCs/>
          <w:color w:val="0A1628"/>
          <w:sz w:val="24"/>
          <w:szCs w:val="24"/>
        </w:rPr>
        <w:t xml:space="preserve">Texas Senate Bill 1188 (Effective September 1, 2025)</w:t>
      </w:r>
    </w:p>
    <w:p>
      <w:pPr>
        <w:spacing w:before="80" w:after="120" w:line="360" w:lineRule="auto"/>
        <w:jc w:val="both"/>
      </w:pPr>
      <w:r>
        <w:rPr>
          <w:rFonts w:ascii="Arial" w:cs="Arial" w:eastAsia="Arial" w:hAnsi="Arial"/>
          <w:b w:val="false"/>
          <w:bCs w:val="false"/>
          <w:i w:val="false"/>
          <w:iCs w:val="false"/>
          <w:color w:val="1E293B"/>
          <w:sz w:val="22"/>
          <w:szCs w:val="22"/>
        </w:rPr>
        <w:t xml:space="preserve">Texas enacted SB 1188 to regulate the use of artificial intelligence in healthcare settings, with direct implications for clinical AI platforms. The law requires that healthcare practitioners personally review all AI-generated content before making clinical or administrative decisions. It mandates patient disclosure when AI is used for diagnostic purposes, requires that electronic health records of Texas residents be stored exclusively on United States-based infrastructure (effective January 1, 2026), and imposes penalties ranging from $5,000 to $250,000 per intentional violation, plus the potential for license suspension or revocation.</w:t>
      </w:r>
    </w:p>
    <w:p>
      <w:pPr>
        <w:pStyle w:val="Heading3"/>
        <w:spacing w:before="240" w:after="80"/>
      </w:pPr>
      <w:r>
        <w:rPr>
          <w:rFonts w:ascii="Arial" w:cs="Arial" w:eastAsia="Arial" w:hAnsi="Arial"/>
          <w:b/>
          <w:bCs/>
          <w:color w:val="0A1628"/>
          <w:sz w:val="24"/>
          <w:szCs w:val="24"/>
        </w:rPr>
        <w:t xml:space="preserve">Texas TRAIGA — Responsible Artificial Intelligence Governance Act (HB 149, Effective January 1, 2026)</w:t>
      </w:r>
    </w:p>
    <w:p>
      <w:pPr>
        <w:spacing w:before="80" w:after="120" w:line="360" w:lineRule="auto"/>
        <w:jc w:val="both"/>
      </w:pPr>
      <w:r>
        <w:rPr>
          <w:rFonts w:ascii="Arial" w:cs="Arial" w:eastAsia="Arial" w:hAnsi="Arial"/>
          <w:b w:val="false"/>
          <w:bCs w:val="false"/>
          <w:i w:val="false"/>
          <w:iCs w:val="false"/>
          <w:color w:val="1E293B"/>
          <w:sz w:val="22"/>
          <w:szCs w:val="22"/>
        </w:rPr>
        <w:t xml:space="preserve">TRAIGA makes Texas the third state with comprehensive AI legislation, following Colorado and Utah. Unlike Colorado's SB 205, which imposes strict intent-agnostic liability, TRAIGA uses an intent-based liability framework that is more favorable to startup innovation. Key provisions include healthcare-specific AI disclosure obligations, a prohibition on AI for behavioral manipulation (critical for behavioral health deployments), a prohibition on intentional AI discrimination, and a 36-month regulatory sandbox that allows AI companies to test innovations without standard state licensing requirements.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Critically, TRAIGA provides a safe harbor for organizations that achieve substantial compliance with the NIST AI Risk Management Framework — a standard Ardia Health is building to from day one. TRAIGA also preempts all local AI ordinances, creating a single, uniform Texas compliance framework rather than a patchwork of municipal regulations.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Compliance as competitive moat: </w:t>
            </w:r>
            <w:r>
              <w:rPr>
                <w:rFonts w:ascii="Arial" w:cs="Arial" w:eastAsia="Arial" w:hAnsi="Arial"/>
                <w:color w:val="475569"/>
                <w:sz w:val="22"/>
                <w:szCs w:val="22"/>
              </w:rPr>
              <w:t xml:space="preserve">Companies that build SB 1188 and TRAIGA compliance natively — human-in-loop review, US data residency, audit trails, patient disclosure — create structural barriers that late entrants must pay to retrofit. Ardia builds these as core product capabilities, not afterthoughts.</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2. The Clinical AI Technology Landscape</w:t>
      </w:r>
    </w:p>
    <w:p>
      <w:pPr>
        <w:pStyle w:val="Heading2"/>
        <w:spacing w:before="320" w:after="120"/>
      </w:pPr>
      <w:r>
        <w:rPr>
          <w:rFonts w:ascii="Arial" w:cs="Arial" w:eastAsia="Arial" w:hAnsi="Arial"/>
          <w:b/>
          <w:bCs/>
          <w:color w:val="0D9488"/>
          <w:sz w:val="28"/>
          <w:szCs w:val="28"/>
        </w:rPr>
        <w:t xml:space="preserve">2.1 Why Existing Solutions Fail Independent Labs</w:t>
      </w:r>
    </w:p>
    <w:p>
      <w:pPr>
        <w:spacing w:before="80" w:after="120" w:line="360" w:lineRule="auto"/>
        <w:jc w:val="both"/>
      </w:pPr>
      <w:r>
        <w:rPr>
          <w:rFonts w:ascii="Arial" w:cs="Arial" w:eastAsia="Arial" w:hAnsi="Arial"/>
          <w:b w:val="false"/>
          <w:bCs w:val="false"/>
          <w:i w:val="false"/>
          <w:iCs w:val="false"/>
          <w:color w:val="1E293B"/>
          <w:sz w:val="22"/>
          <w:szCs w:val="22"/>
        </w:rPr>
        <w:t xml:space="preserve">The current RCM AI market is dominated by four categories of vendor, none of which adequately serves independent labs: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Hospital-Focused Enterprise Platforms (Waystar, R1 RCM, Experian Health): These platforms are architected for large hospital systems with dedicated IT staff, multimillion-dollar contracts, and procurement timelines of 6–18 months. They have no lab-specific LCD/NCD rule engines and do not address the molecular diagnostics or toxicology denial patterns that are the primary revenue leakage points for independent labs.</w:t>
      </w:r>
    </w:p>
    <w:p>
      <w:pPr>
        <w:pStyle w:val="ListParagraph"/>
        <w:numPr>
          <w:ilvl w:val="0"/>
          <w:numId w:val="2"/>
        </w:numPr>
        <w:spacing w:before="40" w:after="80"/>
      </w:pPr>
      <w:r>
        <w:rPr>
          <w:rFonts w:ascii="Arial" w:cs="Arial" w:eastAsia="Arial" w:hAnsi="Arial"/>
          <w:color w:val="1E293B"/>
          <w:sz w:val="22"/>
          <w:szCs w:val="22"/>
        </w:rPr>
        <w:t xml:space="preserve">AI Claims Review Tools (AKASA, Olive AI-successor products): These tools were designed for hospital-scale denials in surgical, emergency, and acute care contexts. They lack the specialty knowledge required for MolDx coverage determination, NCCN evidence integration for oncology molecular profiling, or SUD documentation requirements for toxicology.</w:t>
      </w:r>
    </w:p>
    <w:p>
      <w:pPr>
        <w:pStyle w:val="ListParagraph"/>
        <w:numPr>
          <w:ilvl w:val="0"/>
          <w:numId w:val="2"/>
        </w:numPr>
        <w:spacing w:before="40" w:after="80"/>
      </w:pPr>
      <w:r>
        <w:rPr>
          <w:rFonts w:ascii="Arial" w:cs="Arial" w:eastAsia="Arial" w:hAnsi="Arial"/>
          <w:color w:val="1E293B"/>
          <w:sz w:val="22"/>
          <w:szCs w:val="22"/>
        </w:rPr>
        <w:t xml:space="preserve">Traditional Lab Billing Services (billing companies, clearinghouses): These services use rules-based logic that cannot adapt to the growing complexity of payer-specific coverage criteria, nor can they generate the evidence-backed appeal narratives that are increasingly required by payers and Medicare Administrative Contractors.</w:t>
      </w:r>
    </w:p>
    <w:p>
      <w:pPr>
        <w:pStyle w:val="ListParagraph"/>
        <w:numPr>
          <w:ilvl w:val="0"/>
          <w:numId w:val="2"/>
        </w:numPr>
        <w:spacing w:before="40" w:after="80"/>
      </w:pPr>
      <w:r>
        <w:rPr>
          <w:rFonts w:ascii="Arial" w:cs="Arial" w:eastAsia="Arial" w:hAnsi="Arial"/>
          <w:color w:val="1E293B"/>
          <w:sz w:val="22"/>
          <w:szCs w:val="22"/>
        </w:rPr>
        <w:t xml:space="preserve">Generic AI Automation Platforms (RPA tools, general-purpose LLM wrappers): These tools lack the clinical domain knowledge, regulatory compliance infrastructure, and healthcare-specific data security posture required to handle PHI and to provide defensible clinical decision support.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result is a white space of extraordinary size: no AI-native platform exists that was purpose-built for the clinical laboratory sector, addresses its specific denial taxonomy (LCD/NCD rules, MolDx, NCCN, toxicology MOR/confirmatory coding), and is deployable by independent labs that lack enterprise IT infrastructure.</w:t>
      </w:r>
    </w:p>
    <w:p>
      <w:pPr>
        <w:pStyle w:val="Heading2"/>
        <w:spacing w:before="320" w:after="120"/>
      </w:pPr>
      <w:r>
        <w:rPr>
          <w:rFonts w:ascii="Arial" w:cs="Arial" w:eastAsia="Arial" w:hAnsi="Arial"/>
          <w:b/>
          <w:bCs/>
          <w:color w:val="0D9488"/>
          <w:sz w:val="28"/>
          <w:szCs w:val="28"/>
        </w:rPr>
        <w:t xml:space="preserve">2.2 Ardia's Neuro-Symbolic Sandwich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clinical intelligence engine is built on a proprietary architectural approach that the company calls the Neuro-Symbolic Sandwich Architecture. This design deliberately combines three distinct AI paradigms to maximize both accuracy and explainability — a combination that is essential in regulated healthcare environments where every AI output must be auditable and defensible.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architecture operates in three integrated layers: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LLM Reasoning Layer (the 'bread'): A large language model — currently leveraging Claude Sonnet from Anthropic and GPT-4o from OpenAI in an ensemble configuration — performs clinical context understanding, extracts denial reason codes, identifies documentation deficiencies, and formulates the narrative argument for each appeal. The LLM operates with chain-of-thought prompting and a structured clinical reasoning framework that forces explicit evidence identification before conclusion generation.</w:t>
      </w:r>
    </w:p>
    <w:p>
      <w:pPr>
        <w:pStyle w:val="ListParagraph"/>
        <w:numPr>
          <w:ilvl w:val="0"/>
          <w:numId w:val="2"/>
        </w:numPr>
        <w:spacing w:before="40" w:after="80"/>
      </w:pPr>
      <w:r>
        <w:rPr>
          <w:rFonts w:ascii="Arial" w:cs="Arial" w:eastAsia="Arial" w:hAnsi="Arial"/>
          <w:color w:val="1E293B"/>
          <w:sz w:val="22"/>
          <w:szCs w:val="22"/>
        </w:rPr>
        <w:t xml:space="preserve">Symbolic Rules Engine (the 'filling'): A deterministic rule engine containing 847 LCD (Local Coverage Determination) and NCD (National Coverage Determination) rules, payer-specific coverage criteria, MolDx policy requirements, NCCN clinical guideline decision trees, and prior authorization logic. The symbolic layer constrains the LLM to policy-correct outputs and provides human-auditable decision trails. It also contains the TRAIGA compliance gate, ensuring every output meets human-in-loop review requirements before any claim action is taken.</w:t>
      </w:r>
    </w:p>
    <w:p>
      <w:pPr>
        <w:pStyle w:val="ListParagraph"/>
        <w:numPr>
          <w:ilvl w:val="0"/>
          <w:numId w:val="2"/>
        </w:numPr>
        <w:spacing w:before="40" w:after="80"/>
      </w:pPr>
      <w:r>
        <w:rPr>
          <w:rFonts w:ascii="Arial" w:cs="Arial" w:eastAsia="Arial" w:hAnsi="Arial"/>
          <w:color w:val="1E293B"/>
          <w:sz w:val="22"/>
          <w:szCs w:val="22"/>
        </w:rPr>
        <w:t xml:space="preserve">ML Outcome Predictor (the second 'bread'): A machine learning model trained on historical denial outcomes, payer behavior patterns, and adjudication data provides a win probability score for each appeal strategy before submission. This allows the system to prioritize high-value, high-probability appeals and to route borderline cases to human review, optimizing both recovery rates and staff time allocation.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Core performance metrics: </w:t>
            </w:r>
            <w:r>
              <w:rPr>
                <w:rFonts w:ascii="Arial" w:cs="Arial" w:eastAsia="Arial" w:hAnsi="Arial"/>
                <w:color w:val="475569"/>
                <w:sz w:val="22"/>
                <w:szCs w:val="22"/>
              </w:rPr>
              <w:t xml:space="preserve"/>
            </w:r>
          </w:p>
          <w:p>
            <w:pPr>
              <w:spacing w:before="60" w:after="60"/>
            </w:pPr>
            <w:r>
              <w:rPr>
                <w:rFonts w:ascii="Arial" w:cs="Arial" w:eastAsia="Arial" w:hAnsi="Arial"/>
                <w:b/>
                <w:bCs/>
                <w:color w:val="0A1628"/>
                <w:sz w:val="22"/>
                <w:szCs w:val="22"/>
              </w:rPr>
              <w:t xml:space="preserve">  &lt;90 seconds </w:t>
            </w:r>
            <w:r>
              <w:rPr>
                <w:rFonts w:ascii="Arial" w:cs="Arial" w:eastAsia="Arial" w:hAnsi="Arial"/>
                <w:color w:val="475569"/>
                <w:sz w:val="22"/>
                <w:szCs w:val="22"/>
              </w:rPr>
              <w:t xml:space="preserve">from denial identification to appeal brief generation</w:t>
            </w:r>
          </w:p>
          <w:p>
            <w:pPr>
              <w:spacing w:before="60" w:after="60"/>
            </w:pPr>
            <w:r>
              <w:rPr>
                <w:rFonts w:ascii="Arial" w:cs="Arial" w:eastAsia="Arial" w:hAnsi="Arial"/>
                <w:b/>
                <w:bCs/>
                <w:color w:val="0A1628"/>
                <w:sz w:val="22"/>
                <w:szCs w:val="22"/>
              </w:rPr>
              <w:t xml:space="preserve">  89% </w:t>
            </w:r>
            <w:r>
              <w:rPr>
                <w:rFonts w:ascii="Arial" w:cs="Arial" w:eastAsia="Arial" w:hAnsi="Arial"/>
                <w:color w:val="475569"/>
                <w:sz w:val="22"/>
                <w:szCs w:val="22"/>
              </w:rPr>
              <w:t xml:space="preserve">win rate on appealed claims (validated against historical data)</w:t>
            </w:r>
          </w:p>
          <w:p>
            <w:pPr>
              <w:spacing w:before="60" w:after="60"/>
            </w:pPr>
            <w:r>
              <w:rPr>
                <w:rFonts w:ascii="Arial" w:cs="Arial" w:eastAsia="Arial" w:hAnsi="Arial"/>
                <w:b/>
                <w:bCs/>
                <w:color w:val="0A1628"/>
                <w:sz w:val="22"/>
                <w:szCs w:val="22"/>
              </w:rPr>
              <w:t xml:space="preserve">  340ms </w:t>
            </w:r>
            <w:r>
              <w:rPr>
                <w:rFonts w:ascii="Arial" w:cs="Arial" w:eastAsia="Arial" w:hAnsi="Arial"/>
                <w:color w:val="475569"/>
                <w:sz w:val="22"/>
                <w:szCs w:val="22"/>
              </w:rPr>
              <w:t xml:space="preserve">RAG evidence retrieval from 14 medical and regulatory databases</w:t>
            </w:r>
          </w:p>
          <w:p>
            <w:pPr>
              <w:spacing w:before="60" w:after="60"/>
            </w:pPr>
            <w:r>
              <w:rPr>
                <w:rFonts w:ascii="Arial" w:cs="Arial" w:eastAsia="Arial" w:hAnsi="Arial"/>
                <w:b/>
                <w:bCs/>
                <w:color w:val="0A1628"/>
                <w:sz w:val="22"/>
                <w:szCs w:val="22"/>
              </w:rPr>
              <w:t xml:space="preserve">  847 </w:t>
            </w:r>
            <w:r>
              <w:rPr>
                <w:rFonts w:ascii="Arial" w:cs="Arial" w:eastAsia="Arial" w:hAnsi="Arial"/>
                <w:color w:val="475569"/>
                <w:sz w:val="22"/>
                <w:szCs w:val="22"/>
              </w:rPr>
              <w:t xml:space="preserve">LCD/NCD rules in the symbolic knowledge base</w:t>
            </w:r>
          </w:p>
          <w:p>
            <w:pPr>
              <w:spacing w:before="60" w:after="60"/>
            </w:pPr>
            <w:r>
              <w:rPr>
                <w:rFonts w:ascii="Arial" w:cs="Arial" w:eastAsia="Arial" w:hAnsi="Arial"/>
                <w:b/>
                <w:bCs/>
                <w:color w:val="0A1628"/>
                <w:sz w:val="22"/>
                <w:szCs w:val="22"/>
              </w:rPr>
              <w:t xml:space="preserve">  47× </w:t>
            </w:r>
            <w:r>
              <w:rPr>
                <w:rFonts w:ascii="Arial" w:cs="Arial" w:eastAsia="Arial" w:hAnsi="Arial"/>
                <w:color w:val="475569"/>
                <w:sz w:val="22"/>
                <w:szCs w:val="22"/>
              </w:rPr>
              <w:t xml:space="preserve">cost advantage over manual appeal processing ($181 manual vs. $3.85 AI-assisted)</w:t>
            </w:r>
          </w:p>
        </w:tc>
      </w:tr>
    </w:tbl>
    <w:p>
      <w:pPr>
        <w:spacing w:before="0" w:after="120"/>
      </w:pPr>
      <w:r>
        <w:rPr>
          <w:rFonts w:ascii="Arial" w:cs="Arial" w:eastAsia="Arial" w:hAnsi="Arial"/>
          <w:sz w:val="22"/>
          <w:szCs w:val="22"/>
        </w:rPr>
        <w:t xml:space="preserve"/>
      </w:r>
    </w:p>
    <w:p>
      <w:pPr>
        <w:pStyle w:val="Heading2"/>
        <w:spacing w:before="320" w:after="120"/>
      </w:pPr>
      <w:r>
        <w:rPr>
          <w:rFonts w:ascii="Arial" w:cs="Arial" w:eastAsia="Arial" w:hAnsi="Arial"/>
          <w:b/>
          <w:bCs/>
          <w:color w:val="0D9488"/>
          <w:sz w:val="28"/>
          <w:szCs w:val="28"/>
        </w:rPr>
        <w:t xml:space="preserve">2.3 The RAG Evidence Retrieval System</w:t>
      </w:r>
    </w:p>
    <w:p>
      <w:pPr>
        <w:spacing w:before="80" w:after="120" w:line="360" w:lineRule="auto"/>
        <w:jc w:val="both"/>
      </w:pPr>
      <w:r>
        <w:rPr>
          <w:rFonts w:ascii="Arial" w:cs="Arial" w:eastAsia="Arial" w:hAnsi="Arial"/>
          <w:b w:val="false"/>
          <w:bCs w:val="false"/>
          <w:i w:val="false"/>
          <w:iCs w:val="false"/>
          <w:color w:val="1E293B"/>
          <w:sz w:val="22"/>
          <w:szCs w:val="22"/>
        </w:rPr>
        <w:t xml:space="preserve">A critical differentiator in Ardia's architecture is its retrieval-augmented generation (RAG) system, which indexes and provides sub-second access to 14 evidence databases. These include CMS coverage policies and LCD/NCD determinations, NCCN clinical practice guidelines (oncology molecular profiling), PubMed clinical literature (100M+ indexed articles), ALJ and Medicare Administrative Contractor appeal decision histories, American College of Medical Genetics guidelines, American Society of Addiction Medicine clinical criteria, and payer-specific coverage bulletin libraries.</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This evidence infrastructure means that every appeal brief generated by Ardia is grounded in contemporaneous, peer-reviewed, and policy-sanctioned evidence — not generic template text. The system identifies the specific evidence most relevant to each denial's clinical context using a semantic similarity search with 340-millisecond average retrieval time, enabling the LLM reasoning layer to craft highly specific, evidence-dense appeals that mirror the documentation quality of expert human appeal writers at a fraction of the cost and time.</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3. The DFW Clinical Ecosystem: Why This Market, Why Now</w:t>
      </w:r>
    </w:p>
    <w:p>
      <w:pPr>
        <w:pStyle w:val="Heading2"/>
        <w:spacing w:before="320" w:after="120"/>
      </w:pPr>
      <w:r>
        <w:rPr>
          <w:rFonts w:ascii="Arial" w:cs="Arial" w:eastAsia="Arial" w:hAnsi="Arial"/>
          <w:b/>
          <w:bCs/>
          <w:color w:val="0D9488"/>
          <w:sz w:val="28"/>
          <w:szCs w:val="28"/>
        </w:rPr>
        <w:t xml:space="preserve">3.1 Dallas-Fort Worth as the National Healthcare AI Beachhead</w:t>
      </w:r>
    </w:p>
    <w:p>
      <w:pPr>
        <w:spacing w:before="80" w:after="120" w:line="360" w:lineRule="auto"/>
        <w:jc w:val="both"/>
      </w:pPr>
      <w:r>
        <w:rPr>
          <w:rFonts w:ascii="Arial" w:cs="Arial" w:eastAsia="Arial" w:hAnsi="Arial"/>
          <w:b w:val="false"/>
          <w:bCs w:val="false"/>
          <w:i w:val="false"/>
          <w:iCs w:val="false"/>
          <w:color w:val="1E293B"/>
          <w:sz w:val="22"/>
          <w:szCs w:val="22"/>
        </w:rPr>
        <w:t xml:space="preserve">Dallas-Fort Worth is not merely a convenient headquarters location for Ardia — it is a strategically optimal market for a clinical AI startup targeting labs and ACOs. The DFW metro hosts one of the highest concentrations of sophisticated healthcare infrastructure in the United States, combined with a regulatory environment (Texas SB 1188 and TRAIGA) that simultaneously creates compliance requirements (competitive moats for early adopters) and innovation sandboxes (the 36-month TRAIGA exemption).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A1628"/>
                <w:sz w:val="48"/>
                <w:szCs w:val="48"/>
              </w:rPr>
              <w:t xml:space="preserve">90</w:t>
            </w:r>
          </w:p>
          <w:p>
            <w:pPr>
              <w:spacing w:before="0" w:after="0"/>
              <w:jc w:val="center"/>
            </w:pPr>
            <w:r>
              <w:rPr>
                <w:rFonts w:ascii="Arial" w:cs="Arial" w:eastAsia="Arial" w:hAnsi="Arial"/>
                <w:color w:val="475569"/>
                <w:sz w:val="18"/>
                <w:szCs w:val="18"/>
              </w:rPr>
              <w:t xml:space="preserve">DFWHC Member Hospitals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265K+</w:t>
            </w:r>
          </w:p>
          <w:p>
            <w:pPr>
              <w:spacing w:before="0" w:after="0"/>
              <w:jc w:val="center"/>
            </w:pPr>
            <w:r>
              <w:rPr>
                <w:rFonts w:ascii="Arial" w:cs="Arial" w:eastAsia="Arial" w:hAnsi="Arial"/>
                <w:color w:val="475569"/>
                <w:sz w:val="18"/>
                <w:szCs w:val="18"/>
              </w:rPr>
              <w:t xml:space="preserve">Healthcare Jobs</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D97706"/>
                <w:sz w:val="48"/>
                <w:szCs w:val="48"/>
              </w:rPr>
              <w:t xml:space="preserve">$14B</w:t>
            </w:r>
          </w:p>
          <w:p>
            <w:pPr>
              <w:spacing w:before="0" w:after="0"/>
              <w:jc w:val="center"/>
            </w:pPr>
            <w:r>
              <w:rPr>
                <w:rFonts w:ascii="Arial" w:cs="Arial" w:eastAsia="Arial" w:hAnsi="Arial"/>
                <w:color w:val="475569"/>
                <w:sz w:val="18"/>
                <w:szCs w:val="18"/>
              </w:rPr>
              <w:t xml:space="preserve">Hospital Economic Impact</w:t>
            </w:r>
          </w:p>
        </w:tc>
        <w:tc>
          <w:tcPr>
            <w:tcW w:type="dxa" w:w="2340"/>
            <w:tcBorders>
              <w:top w:val="none" w:color="FFFFFF" w:sz="0"/>
              <w:left w:val="none" w:color="FFFFFF" w:sz="0"/>
              <w:bottom w:val="none" w:color="FFFFFF" w:sz="0"/>
              <w:right w:val="none" w:color="FFFFFF" w:sz="0"/>
            </w:tcBorders>
            <w:shd w:fill="F8FAFC" w:val="clear"/>
            <w:tcMar>
              <w:top w:type="dxa" w:w="120"/>
              <w:left w:type="dxa" w:w="160"/>
              <w:bottom w:type="dxa" w:w="120"/>
              <w:right w:type="dxa" w:w="160"/>
            </w:tcMar>
          </w:tcPr>
          <w:p>
            <w:pPr>
              <w:spacing w:before="0" w:after="0"/>
              <w:jc w:val="center"/>
            </w:pPr>
            <w:r>
              <w:rPr>
                <w:rFonts w:ascii="Arial" w:cs="Arial" w:eastAsia="Arial" w:hAnsi="Arial"/>
                <w:b/>
                <w:bCs/>
                <w:color w:val="0D9488"/>
                <w:sz w:val="48"/>
                <w:szCs w:val="48"/>
              </w:rPr>
              <w:t xml:space="preserve">58</w:t>
            </w:r>
          </w:p>
          <w:p>
            <w:pPr>
              <w:spacing w:before="0" w:after="0"/>
              <w:jc w:val="center"/>
            </w:pPr>
            <w:r>
              <w:rPr>
                <w:rFonts w:ascii="Arial" w:cs="Arial" w:eastAsia="Arial" w:hAnsi="Arial"/>
                <w:color w:val="475569"/>
                <w:sz w:val="18"/>
                <w:szCs w:val="18"/>
              </w:rPr>
              <w:t xml:space="preserve">Texas MSSP ACOs</w:t>
            </w:r>
          </w:p>
        </w:tc>
      </w:tr>
    </w:tbl>
    <w:p>
      <w:pPr>
        <w:pStyle w:val="Heading2"/>
        <w:spacing w:before="320" w:after="120"/>
      </w:pPr>
      <w:r>
        <w:rPr>
          <w:rFonts w:ascii="Arial" w:cs="Arial" w:eastAsia="Arial" w:hAnsi="Arial"/>
          <w:b/>
          <w:bCs/>
          <w:color w:val="0D9488"/>
          <w:sz w:val="28"/>
          <w:szCs w:val="28"/>
        </w:rPr>
        <w:t xml:space="preserve">3.2 Phase 1 Lab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Phase 1 go-to-market focuses on the concentrated cluster of independent and mid-size labs in the Dallas/Irving/Farmers Branch corridor and Denton County, with the following priority prospects:</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560"/>
        <w:gridCol w:w="2800"/>
      </w:tblGrid>
      <w:tr>
        <w:trPr>
          <w:tblHeader/>
        </w:trPr>
        <w:tc>
          <w:tcPr>
            <w:tcW w:type="dxa" w:w="24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Lab Organization</w:t>
            </w:r>
          </w:p>
        </w:tc>
        <w:tc>
          <w:tcPr>
            <w:tcW w:type="dxa" w:w="16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Location</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 Volume</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Strategic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HealthTrackRx</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Denton, TX (HQ)</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clinician network, CDC partner, $45.5M investment</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Nation's premier independent PCR lab; technology-forward leadership</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Principle Health Systems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Irving,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 tests/year, HL7 integrated</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Fast-growing tox + molecular; acquisition-minded, explicit PLG fit</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Filos Health Laboratory</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Dallas–Fort Worth</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 patients, COLA/CLIA</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Explicitly pursuing AI — press materials cite AI as strategic priority</w:t>
            </w:r>
          </w:p>
        </w:tc>
      </w:tr>
      <w:tr>
        <w:tc>
          <w:tcPr>
            <w:tcW w:type="dxa" w:w="24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Apollo Laboratories</w:t>
            </w:r>
          </w:p>
        </w:tc>
        <w:tc>
          <w:tcPr>
            <w:tcW w:type="dxa" w:w="16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Full-panel tox, 24–72hr TAT</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Independent tox serving treatment centers; ideal Phase 1 pilot profile</w:t>
            </w:r>
          </w:p>
        </w:tc>
      </w:tr>
      <w:tr>
        <w:tc>
          <w:tcPr>
            <w:tcW w:type="dxa" w:w="24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MD Molecular Diagnostics</w:t>
            </w:r>
          </w:p>
        </w:tc>
        <w:tc>
          <w:tcPr>
            <w:tcW w:type="dxa" w:w="16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Farmers Branch, TX</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Pathogen detection panels</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Small-to-mid independent molecular lab in core corridor</w:t>
            </w:r>
          </w:p>
        </w:tc>
      </w:tr>
    </w:tbl>
    <w:p>
      <w:pPr>
        <w:pStyle w:val="Heading2"/>
        <w:spacing w:before="320" w:after="120"/>
      </w:pPr>
      <w:r>
        <w:rPr>
          <w:rFonts w:ascii="Arial" w:cs="Arial" w:eastAsia="Arial" w:hAnsi="Arial"/>
          <w:b/>
          <w:bCs/>
          <w:color w:val="0D9488"/>
          <w:sz w:val="28"/>
          <w:szCs w:val="28"/>
        </w:rPr>
        <w:t xml:space="preserve">3.3 ACO Partnership Pathway</w:t>
      </w:r>
    </w:p>
    <w:p>
      <w:pPr>
        <w:spacing w:before="80" w:after="120" w:line="360" w:lineRule="auto"/>
        <w:jc w:val="both"/>
      </w:pPr>
      <w:r>
        <w:rPr>
          <w:rFonts w:ascii="Arial" w:cs="Arial" w:eastAsia="Arial" w:hAnsi="Arial"/>
          <w:b w:val="false"/>
          <w:bCs w:val="false"/>
          <w:i w:val="false"/>
          <w:iCs w:val="false"/>
          <w:color w:val="1E293B"/>
          <w:sz w:val="22"/>
          <w:szCs w:val="22"/>
        </w:rPr>
        <w:t xml:space="preserve">The two dominant DFW ACOs represent Ardia's highest-value enterprise expansion pathway, with combined management of over 200,000 Medicare beneficiaries and hundreds of millions in annual shared savings: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Baylor Scott &amp; White Quality Alliance (BSWQA): 6,000+ physicians, 50 hospitals, approximately 750,000 total lives under management. Generated $107.6 million in gross MSSP savings in 2023 (the highest in Texas) and $104.5 million in 2024. NCQA Level-2 accredited. Ardia's AcoIQ module provides lab data pipeline analytics that can directly support BSWQA's shared savings attribution and quality measure reporting workflows.</w:t>
      </w:r>
    </w:p>
    <w:p>
      <w:pPr>
        <w:pStyle w:val="ListParagraph"/>
        <w:numPr>
          <w:ilvl w:val="0"/>
          <w:numId w:val="2"/>
        </w:numPr>
        <w:spacing w:before="40" w:after="80"/>
      </w:pPr>
      <w:r>
        <w:rPr>
          <w:rFonts w:ascii="Arial" w:cs="Arial" w:eastAsia="Arial" w:hAnsi="Arial"/>
          <w:color w:val="1E293B"/>
          <w:sz w:val="22"/>
          <w:szCs w:val="22"/>
        </w:rPr>
        <w:t xml:space="preserve">Southwestern Health Resources (SWHR): The UT Southwestern Medical Center and Texas Health Resources partnership. Ranked #1 nationally for Medicare savings for three consecutive years, with $304 million in cumulative savings since 2017. Coordinates 5,500+ providers across 16–17 North Texas counties. SWHR represents the most strategic EHR integration pathway in the DFW market.</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Texas as a whole hosts 58 MSSP ACOs that paid out over $803 million in shared savings in 2024, with 90% of Texas ACOs earning payouts versus a 75% national average. This ACO density and performance creates a large, sophisticated buyer base for Ardia's population health analytics capabilities in Phase 2 and beyond.</w:t>
      </w:r>
    </w:p>
    <w:p>
      <w:r>
        <w:br w:type="page"/>
      </w:r>
    </w:p>
    <w:p>
      <w:pPr>
        <w:shd w:fill="0A1628" w:val="clear"/>
        <w:spacing w:before="0" w:after="80"/>
        <w:jc w:val="center"/>
      </w:pPr>
      <w:r>
        <w:rPr>
          <w:rFonts w:ascii="Arial" w:cs="Arial" w:eastAsia="Arial" w:hAnsi="Arial"/>
          <w:b/>
          <w:bCs/>
          <w:color w:val="FFFFFF"/>
          <w:spacing w:val="100"/>
          <w:sz w:val="32"/>
          <w:szCs w:val="32"/>
        </w:rPr>
        <w:t xml:space="preserve">PART II — BUSINESS PLAN</w:t>
      </w:r>
    </w:p>
    <w:p>
      <w:pPr>
        <w:shd w:fill="0A1628" w:val="clear"/>
        <w:spacing w:before="0" w:after="0"/>
        <w:jc w:val="center"/>
      </w:pPr>
      <w:r>
        <w:rPr>
          <w:rFonts w:ascii="Arial" w:cs="Arial" w:eastAsia="Arial" w:hAnsi="Arial"/>
          <w:i/>
          <w:iCs/>
          <w:color w:val="94A3B8"/>
          <w:sz w:val="24"/>
          <w:szCs w:val="24"/>
        </w:rPr>
        <w:t xml:space="preserve">Strategy, Financials, Go-to-Market, and Investment Case</w:t>
      </w:r>
    </w:p>
    <w:p>
      <w:pPr>
        <w:spacing w:before="0" w:after="240"/>
      </w:pPr>
      <w:r>
        <w:rPr>
          <w:rFonts w:ascii="Arial" w:cs="Arial" w:eastAsia="Arial" w:hAnsi="Arial"/>
          <w:sz w:val="22"/>
          <w:szCs w:val="22"/>
        </w:rPr>
        <w:t xml:space="preserve"/>
      </w:r>
    </w:p>
    <w:p>
      <w:pPr>
        <w:pStyle w:val="Heading1"/>
        <w:pBdr>
          <w:bottom w:val="single" w:color="0D9488" w:sz="8" w:space="4"/>
        </w:pBdr>
        <w:spacing w:before="480" w:after="160"/>
      </w:pPr>
      <w:r>
        <w:rPr>
          <w:rFonts w:ascii="Arial" w:cs="Arial" w:eastAsia="Arial" w:hAnsi="Arial"/>
          <w:b/>
          <w:bCs/>
          <w:color w:val="0A1628"/>
          <w:sz w:val="36"/>
          <w:szCs w:val="36"/>
        </w:rPr>
        <w:t xml:space="preserve">4. Company Overview and Mission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a clinical artificial intelligence company headquartered in Argyle (Flower Mound), Texas 76226. The company was incorporated as a Delaware LLC in January 2026.</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Mission: To ensure that every clinical test performed by an independent laboratory is reimbursed at its full earned value, using AI that is transparent, auditable, and built for the regulatory reality of modern healthcare.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Vision: To become the operating system for independent lab revenue in the United States — the platform that every independent lab relies on not only to recover denied revenue but to optimize pricing strategy, anticipate payer behavior, and navigate the increasingly complex landscape of value-based care.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company's four core product modules — ToxIQ, MolecuIQ, AcoIQ, and BehaviorIQ — address the four highest-value clinical lab categories in the independent market: toxicology and substance use disorder testing, molecular diagnostics and pharmacogenomics, ACO population health analytics, and behavioral health and addiction medicine billing.</w:t>
      </w:r>
    </w:p>
    <w:p>
      <w:pPr>
        <w:pStyle w:val="Heading1"/>
        <w:pBdr>
          <w:bottom w:val="single" w:color="0D9488" w:sz="8" w:space="4"/>
        </w:pBdr>
        <w:spacing w:before="480" w:after="160"/>
      </w:pPr>
      <w:r>
        <w:rPr>
          <w:rFonts w:ascii="Arial" w:cs="Arial" w:eastAsia="Arial" w:hAnsi="Arial"/>
          <w:b/>
          <w:bCs/>
          <w:color w:val="0A1628"/>
          <w:sz w:val="36"/>
          <w:szCs w:val="36"/>
        </w:rPr>
        <w:t xml:space="preserve">5. Market Analysis</w:t>
      </w:r>
    </w:p>
    <w:p>
      <w:pPr>
        <w:pStyle w:val="Heading2"/>
        <w:spacing w:before="320" w:after="120"/>
      </w:pPr>
      <w:r>
        <w:rPr>
          <w:rFonts w:ascii="Arial" w:cs="Arial" w:eastAsia="Arial" w:hAnsi="Arial"/>
          <w:b/>
          <w:bCs/>
          <w:color w:val="0D9488"/>
          <w:sz w:val="28"/>
          <w:szCs w:val="28"/>
        </w:rPr>
        <w:t xml:space="preserve">5.1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1200"/>
        <w:gridCol w:w="2800"/>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Market Segment</w:t>
            </w:r>
          </w:p>
        </w:tc>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Size (2024/2026)</w:t>
            </w:r>
          </w:p>
        </w:tc>
        <w:tc>
          <w:tcPr>
            <w:tcW w:type="dxa" w:w="12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CAGR</w:t>
            </w:r>
          </w:p>
        </w:tc>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Source</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AI RCM Market (TAM)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$20.6B (2024) → $70.1B (2030)</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24.2%</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Grand View Research 2024</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U.S. RCM Market</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$56.8B (2024)</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Market Research Future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Diagnostics Center RCM (SAM)</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$14B (2026)</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CMS data</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Clinical Lab Market (total)</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$96–100B annually</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IBIS World / CMS 2024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AI RCM (SOM, Yr 5)</w:t>
            </w:r>
          </w:p>
        </w:tc>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$620M+</w:t>
            </w:r>
          </w:p>
        </w:tc>
        <w:tc>
          <w:tcPr>
            <w:tcW w:type="dxa" w:w="12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 bottom-up model</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DFW Metro Lab Market (beachhead)</w:t>
            </w:r>
          </w:p>
        </w:tc>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$3–5B+</w:t>
            </w:r>
          </w:p>
        </w:tc>
        <w:tc>
          <w:tcPr>
            <w:tcW w:type="dxa" w:w="12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w:t>
            </w:r>
          </w:p>
        </w:tc>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Internal estimate, DFWHC data</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Ardia's bottom-up serviceable obtainable market calculation is based on 7,000 CLIA-certified independent labs, an average of $240,000 in annually recoverable denied revenue per lab (derived from a 15% average denial rate on $3M average annual billings, 50% recovery rate, and 15% success fee), yielding a $252M annual addressable revenue pool from success fees alone. Adding the SaaS platform expansion tier and ACO intelligence modules yields a total SOM of $620M+ at full penetration in Year 5.</w:t>
      </w:r>
    </w:p>
    <w:p>
      <w:pPr>
        <w:pStyle w:val="Heading2"/>
        <w:spacing w:before="320" w:after="120"/>
      </w:pPr>
      <w:r>
        <w:rPr>
          <w:rFonts w:ascii="Arial" w:cs="Arial" w:eastAsia="Arial" w:hAnsi="Arial"/>
          <w:b/>
          <w:bCs/>
          <w:color w:val="0D9488"/>
          <w:sz w:val="28"/>
          <w:szCs w:val="28"/>
        </w:rPr>
        <w:t xml:space="preserve">5.2 Competitive Positioning</w:t>
      </w:r>
    </w:p>
    <w:p>
      <w:pPr>
        <w:spacing w:before="80" w:after="120" w:line="360" w:lineRule="auto"/>
        <w:jc w:val="both"/>
      </w:pPr>
      <w:r>
        <w:rPr>
          <w:rFonts w:ascii="Arial" w:cs="Arial" w:eastAsia="Arial" w:hAnsi="Arial"/>
          <w:b w:val="false"/>
          <w:bCs w:val="false"/>
          <w:i w:val="false"/>
          <w:iCs w:val="false"/>
          <w:color w:val="1E293B"/>
          <w:sz w:val="22"/>
          <w:szCs w:val="22"/>
        </w:rPr>
        <w:t xml:space="preserve">Ardia operates in a market with significant but incorrectly positioned competition. All major AI RCM players target hospital systems. None has built a purpose-designed solution for independent labs. The competitive matrix below illustrates Ardia's differentiated position:</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620"/>
        <w:gridCol w:w="1540"/>
        <w:gridCol w:w="1540"/>
        <w:gridCol w:w="1760"/>
      </w:tblGrid>
      <w:tr>
        <w:trPr>
          <w:tblHeader/>
        </w:trPr>
        <w:tc>
          <w:tcPr>
            <w:tcW w:type="dxa" w:w="29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Capability</w:t>
            </w:r>
          </w:p>
        </w:tc>
        <w:tc>
          <w:tcPr>
            <w:tcW w:type="dxa" w:w="162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Ardia Health</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Waystar</w:t>
            </w:r>
          </w:p>
        </w:tc>
        <w:tc>
          <w:tcPr>
            <w:tcW w:type="dxa" w:w="15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R1 RCM</w:t>
            </w:r>
          </w:p>
        </w:tc>
        <w:tc>
          <w:tcPr>
            <w:tcW w:type="dxa" w:w="17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AKASA</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Molecular / Toxicology Denial AI</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Native — built-in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Not available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LCD/NCD Rules Engine (847 rules)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847 rules, current</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 hospital-focused</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Partial</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TX SB 1188 / TRAIGA Compliance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Built-in from launch</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Roadmap unknown</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Independent Lab Focus</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Exclusive focus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Incidental</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None</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Pricing Model</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 success fee (no upfront)</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implementation</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 % billed</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License fee</w:t>
            </w:r>
          </w:p>
        </w:tc>
      </w:tr>
      <w:tr>
        <w:tc>
          <w:tcPr>
            <w:tcW w:type="dxa" w:w="29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Deployment Timeline</w:t>
            </w:r>
          </w:p>
        </w:tc>
        <w:tc>
          <w:tcPr>
            <w:tcW w:type="dxa" w:w="162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Self-serve, 2–4 weeks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5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6–18 months</w:t>
            </w:r>
          </w:p>
        </w:tc>
        <w:tc>
          <w:tcPr>
            <w:tcW w:type="dxa" w:w="17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 months</w:t>
            </w:r>
          </w:p>
        </w:tc>
      </w:tr>
      <w:tr>
        <w:tc>
          <w:tcPr>
            <w:tcW w:type="dxa" w:w="29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Typical Contract Value</w:t>
            </w:r>
          </w:p>
        </w:tc>
        <w:tc>
          <w:tcPr>
            <w:tcW w:type="dxa" w:w="162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$40K–$405K/lab/yr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$500K–$5M/yr</w:t>
            </w:r>
          </w:p>
        </w:tc>
        <w:tc>
          <w:tcPr>
            <w:tcW w:type="dxa" w:w="15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$1M+/yr</w:t>
            </w:r>
          </w:p>
        </w:tc>
        <w:tc>
          <w:tcPr>
            <w:tcW w:type="dxa" w:w="17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$250K–$2M/yr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6. Product Architecture and Roadmap</w:t>
      </w:r>
    </w:p>
    <w:p>
      <w:pPr>
        <w:pStyle w:val="Heading2"/>
        <w:spacing w:before="320" w:after="120"/>
      </w:pPr>
      <w:r>
        <w:rPr>
          <w:rFonts w:ascii="Arial" w:cs="Arial" w:eastAsia="Arial" w:hAnsi="Arial"/>
          <w:b/>
          <w:bCs/>
          <w:color w:val="0D9488"/>
          <w:sz w:val="28"/>
          <w:szCs w:val="28"/>
        </w:rPr>
        <w:t xml:space="preserve">6.1 Product Modules</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platform is composed of four specialized intelligence modules, each targeting a distinct clinical lab revenue context:</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ToxIQ™ — Toxicology Revenue Intelligence: Addresses the highest-frequency denial patterns in substance use disorder testing, including medical necessity documentation for urine drug screens, confirmatory vs. presumptive testing justification, MOR/confirmatory drug panel coding, and synthetic opioid detection reporting. ToxIQ integrates with OTP (Opioid Treatment Program) workflow systems and MAT clinic EHRs to automate the linkage between treatment plans and test orders.</w:t>
      </w:r>
    </w:p>
    <w:p>
      <w:pPr>
        <w:pStyle w:val="ListParagraph"/>
        <w:numPr>
          <w:ilvl w:val="0"/>
          <w:numId w:val="2"/>
        </w:numPr>
        <w:spacing w:before="40" w:after="80"/>
      </w:pPr>
      <w:r>
        <w:rPr>
          <w:rFonts w:ascii="Arial" w:cs="Arial" w:eastAsia="Arial" w:hAnsi="Arial"/>
          <w:color w:val="1E293B"/>
          <w:sz w:val="22"/>
          <w:szCs w:val="22"/>
        </w:rPr>
        <w:t xml:space="preserve">MolecuIQ™ — Molecular Diagnostics Intelligence: Covers MolDx coverage determination requirements, NCCN clinical guideline evidence integration for oncology molecular profiling, NGS panel coverage criteria, pharmacogenomics (PGx) coding and medical necessity, and respiratory/infectious disease PCR panel denial patterns. MolecuIQ is the core product for HealthTrackRx, Filos Health Lab, and similar Phase 1 targets.</w:t>
      </w:r>
    </w:p>
    <w:p>
      <w:pPr>
        <w:pStyle w:val="ListParagraph"/>
        <w:numPr>
          <w:ilvl w:val="0"/>
          <w:numId w:val="2"/>
        </w:numPr>
        <w:spacing w:before="40" w:after="80"/>
      </w:pPr>
      <w:r>
        <w:rPr>
          <w:rFonts w:ascii="Arial" w:cs="Arial" w:eastAsia="Arial" w:hAnsi="Arial"/>
          <w:color w:val="1E293B"/>
          <w:sz w:val="22"/>
          <w:szCs w:val="22"/>
        </w:rPr>
        <w:t xml:space="preserve">AcoIQ™ — ACO Population Health Analytics: Converts lab data streams from SWHR and BSWQA-affiliated labs into shared savings attribution models, quality measure performance dashboards, and total cost of care risk signals. AcoIQ positions Ardia as infrastructure for the ACO rather than a point billing tool, significantly expanding contract scope and stickiness.</w:t>
      </w:r>
    </w:p>
    <w:p>
      <w:pPr>
        <w:pStyle w:val="ListParagraph"/>
        <w:numPr>
          <w:ilvl w:val="0"/>
          <w:numId w:val="2"/>
        </w:numPr>
        <w:spacing w:before="40" w:after="80"/>
      </w:pPr>
      <w:r>
        <w:rPr>
          <w:rFonts w:ascii="Arial" w:cs="Arial" w:eastAsia="Arial" w:hAnsi="Arial"/>
          <w:color w:val="1E293B"/>
          <w:sz w:val="22"/>
          <w:szCs w:val="22"/>
        </w:rPr>
        <w:t xml:space="preserve">BehaviorIQ™ — Behavioral Health and Addiction Medicine: Specialized billing intelligence for behavioral health organizations, MAT clinics, and psychiatric group practices. Covers SUD billing rules, OTP coding (methadone and buprenorphine), prior authorization workflows for naltrexone/Vivitrol, and co-occurring disorder documentation. Targets the DFW behavioral health organizations including BHG, Metrocare Services, and MHMR of Tarrant County.</w:t>
      </w:r>
    </w:p>
    <w:p>
      <w:pPr>
        <w:pStyle w:val="Heading2"/>
        <w:spacing w:before="320" w:after="120"/>
      </w:pPr>
      <w:r>
        <w:rPr>
          <w:rFonts w:ascii="Arial" w:cs="Arial" w:eastAsia="Arial" w:hAnsi="Arial"/>
          <w:b/>
          <w:bCs/>
          <w:color w:val="0D9488"/>
          <w:sz w:val="28"/>
          <w:szCs w:val="28"/>
        </w:rPr>
        <w:t xml:space="preserve">6.2 Technology Stack and Security</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infrastructure is deployed exclusively on AWS US-East-1 (satisfying the TX SB 1188 US data residency requirement). All data in transit and at rest is encrypted with AES-256. The platform implements FHIR R4 for healthcare data exchange, EDI 835/837 for claims processing, and HL7 v2 for legacy EHR integration. Role-based access control (RBAC) is implemented at the row level in the data layer. All AI outputs require practitioner review before claim action, with a full audit trail logged to an immutable append-only store.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The HIPAA Business Associate Agreement (BAA) framework, NIST AI Risk Management Framework (AI RMF) compliance documentation, and TRAIGA regulatory sandbox registration are all in active preparation for completion by Q2 2026.</w:t>
      </w:r>
    </w:p>
    <w:p>
      <w:pPr>
        <w:pStyle w:val="Heading2"/>
        <w:spacing w:before="320" w:after="120"/>
      </w:pPr>
      <w:r>
        <w:rPr>
          <w:rFonts w:ascii="Arial" w:cs="Arial" w:eastAsia="Arial" w:hAnsi="Arial"/>
          <w:b/>
          <w:bCs/>
          <w:color w:val="0D9488"/>
          <w:sz w:val="28"/>
          <w:szCs w:val="28"/>
        </w:rPr>
        <w:t xml:space="preserve">6.3 12-Month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040"/>
        <w:gridCol w:w="2880"/>
      </w:tblGrid>
      <w:tr>
        <w:trPr>
          <w:tblHeader/>
        </w:trPr>
        <w:tc>
          <w:tcPr>
            <w:tcW w:type="dxa" w:w="14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Quarter</w:t>
            </w:r>
          </w:p>
        </w:tc>
        <w:tc>
          <w:tcPr>
            <w:tcW w:type="dxa" w:w="50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Milestone</w:t>
            </w:r>
          </w:p>
        </w:tc>
        <w:tc>
          <w:tcPr>
            <w:tcW w:type="dxa" w:w="28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Revenue Target</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Q2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ToxIQ MVP launch · 2 DFW pilot labs signed · EDI/FHIR integration v1</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First $0 — pilot phase</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Q3 2026</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MolecuIQ beta · 5 paying labs · ADLM Annual Meeting · First success fees</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$200K ARR</w:t>
            </w:r>
          </w:p>
        </w:tc>
      </w:tr>
      <w:tr>
        <w:tc>
          <w:tcPr>
            <w:tcW w:type="dxa" w:w="14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Q4 2026</w:t>
            </w:r>
          </w:p>
        </w:tc>
        <w:tc>
          <w:tcPr>
            <w:tcW w:type="dxa" w:w="50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SWHR/BSWQA ACO pilot · BehaviorIQ alpha · 15 paying labs</w:t>
            </w:r>
          </w:p>
        </w:tc>
        <w:tc>
          <w:tcPr>
            <w:tcW w:type="dxa" w:w="28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$600K ARR</w:t>
            </w:r>
          </w:p>
        </w:tc>
      </w:tr>
      <w:tr>
        <w:tc>
          <w:tcPr>
            <w:tcW w:type="dxa" w:w="14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Q1 2027</w:t>
            </w:r>
          </w:p>
        </w:tc>
        <w:tc>
          <w:tcPr>
            <w:tcW w:type="dxa" w:w="50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Full Texas launch · 25 paying labs · NAACOS conference · Series A prep</w:t>
            </w:r>
          </w:p>
        </w:tc>
        <w:tc>
          <w:tcPr>
            <w:tcW w:type="dxa" w:w="28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 ARR</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7. Business Model and Unit Economics</w:t>
      </w:r>
    </w:p>
    <w:p>
      <w:pPr>
        <w:pStyle w:val="Heading2"/>
        <w:spacing w:before="320" w:after="120"/>
      </w:pPr>
      <w:r>
        <w:rPr>
          <w:rFonts w:ascii="Arial" w:cs="Arial" w:eastAsia="Arial" w:hAnsi="Arial"/>
          <w:b/>
          <w:bCs/>
          <w:color w:val="0D9488"/>
          <w:sz w:val="28"/>
          <w:szCs w:val="28"/>
        </w:rPr>
        <w:t xml:space="preserve">7.1 Revenue Architecture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employs a three-tier revenue model designed to minimize adoption friction (Tier 1), expand revenue per customer (Tier 2), and capture enterprise value (Tier 3):</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Tier 1 — Success Fee (Primary): 15% of recovered revenue, charged only when claims are successfully resolved. No upfront cost, no minimum commitment, no implementation fee. For a lab with $3M in annual billings at a 15% denial rate and 50% recovery, this yields approximately $33,750 per year in Ardia revenue — with the lab netting $191,250 in recovered revenue they would otherwise have abandoned. The success fee model is the primary driver of PLG adoption and the first-year revenue base.</w:t>
      </w:r>
    </w:p>
    <w:p>
      <w:pPr>
        <w:pStyle w:val="ListParagraph"/>
        <w:numPr>
          <w:ilvl w:val="0"/>
          <w:numId w:val="2"/>
        </w:numPr>
        <w:spacing w:before="40" w:after="80"/>
      </w:pPr>
      <w:r>
        <w:rPr>
          <w:rFonts w:ascii="Arial" w:cs="Arial" w:eastAsia="Arial" w:hAnsi="Arial"/>
          <w:color w:val="1E293B"/>
          <w:sz w:val="22"/>
          <w:szCs w:val="22"/>
        </w:rPr>
        <w:t xml:space="preserve">Tier 2 — SaaS Platform ($2,500–$8,500/month): Full platform access for labs that exceed denial recovery thresholds and require deeper integration, custom LCD rule sets, dedicated customer success management, and compliance dashboard access. Converts to annual contracts at 3-year terms, generating predictable recurring revenue.</w:t>
      </w:r>
    </w:p>
    <w:p>
      <w:pPr>
        <w:pStyle w:val="ListParagraph"/>
        <w:numPr>
          <w:ilvl w:val="0"/>
          <w:numId w:val="2"/>
        </w:numPr>
        <w:spacing w:before="40" w:after="80"/>
      </w:pPr>
      <w:r>
        <w:rPr>
          <w:rFonts w:ascii="Arial" w:cs="Arial" w:eastAsia="Arial" w:hAnsi="Arial"/>
          <w:color w:val="1E293B"/>
          <w:sz w:val="22"/>
          <w:szCs w:val="22"/>
        </w:rPr>
        <w:t xml:space="preserve">Tier 3 — ACO Intelligence ($12,500–$35,000/month): AcoIQ enterprise contracts for ACO organizations seeking lab data pipeline analytics, shared savings attribution modeling, and population health quality measure reporting. These enterprise deals typically involve multi-year commitments and expand Ardia's footprint across the ACO's affiliated lab network.</w:t>
      </w:r>
    </w:p>
    <w:p>
      <w:pPr>
        <w:pStyle w:val="Heading2"/>
        <w:spacing w:before="320" w:after="120"/>
      </w:pPr>
      <w:r>
        <w:rPr>
          <w:rFonts w:ascii="Arial" w:cs="Arial" w:eastAsia="Arial" w:hAnsi="Arial"/>
          <w:b/>
          <w:bCs/>
          <w:color w:val="0D9488"/>
          <w:sz w:val="28"/>
          <w:szCs w:val="28"/>
        </w:rPr>
        <w:t xml:space="preserve">7.2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Value</w:t>
            </w:r>
          </w:p>
        </w:tc>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Notes</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Target Lab Size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10,000–500,000 tests/year</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Sweet spot: 25K–150K tests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Average Denial Rate (lab)</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15–27% of billed claims</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Molecular labs at upper end</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Ardia Recovery Rate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50–80% of worked denials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89% win rate when appealed</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Revenue Per Lab (Yr 1, success fee)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$40,000–$405,000/year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Avg. target ~$120K/lab/yr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Customer Acquisition Cost (PLG)</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$3,500–$8,000</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Includes trial conversion costs</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Cost to Serve (AI infrastructure)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$8,000–$22,000/lab/year</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Cloud + AI API + support</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1, at scale)</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72–78%</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After AI compute and support</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 (Tier 2/3, at scale)</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78–84%</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Higher margin on SaaS tier</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CAC Payback Period</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&lt; 3 months</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Based on avg. $120K ARR/lab</w:t>
            </w:r>
          </w:p>
        </w:tc>
      </w:tr>
      <w:tr>
        <w:tc>
          <w:tcPr>
            <w:tcW w:type="dxa" w:w="3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Net Revenue Retention (target Yr 3)</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145%+</w:t>
            </w:r>
          </w:p>
        </w:tc>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Via tier upsell and lab volume growth</w:t>
            </w:r>
          </w:p>
        </w:tc>
      </w:tr>
      <w:tr>
        <w:tc>
          <w:tcPr>
            <w:tcW w:type="dxa" w:w="3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LTV / CAC Ratio (target)</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&gt;12×</w:t>
            </w:r>
          </w:p>
        </w:tc>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Industry benchmark: &gt;3× healthy</w:t>
            </w:r>
          </w:p>
        </w:tc>
      </w:tr>
    </w:tbl>
    <w:p>
      <w:pPr>
        <w:pStyle w:val="Heading2"/>
        <w:spacing w:before="320" w:after="120"/>
      </w:pPr>
      <w:r>
        <w:rPr>
          <w:rFonts w:ascii="Arial" w:cs="Arial" w:eastAsia="Arial" w:hAnsi="Arial"/>
          <w:b/>
          <w:bCs/>
          <w:color w:val="0D9488"/>
          <w:sz w:val="28"/>
          <w:szCs w:val="28"/>
        </w:rPr>
        <w:t xml:space="preserve">7.3 PLG Go-to-Market Motion</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go-to-market strategy is built on a product-led growth (PLG) model adapted for healthcare's compliance and procurement constraints. The PLG motion follows a four-stage funnel:</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Awareness &amp; Trial: Lab billing staff and lab directors discover Ardia through targeted LinkedIn content, ADLM/SOFT/NAACOS conference presence, and product-led SEO (toxicology coding guides, LCD lookup tools, denial rate benchmarking tools that naturally lead to Ardia trials). A freemium tier allows lab technicians to process their first 5 denied claims with no commitment.</w:t>
      </w:r>
    </w:p>
    <w:p>
      <w:pPr>
        <w:pStyle w:val="ListParagraph"/>
        <w:numPr>
          <w:ilvl w:val="0"/>
          <w:numId w:val="2"/>
        </w:numPr>
        <w:spacing w:before="40" w:after="80"/>
      </w:pPr>
      <w:r>
        <w:rPr>
          <w:rFonts w:ascii="Arial" w:cs="Arial" w:eastAsia="Arial" w:hAnsi="Arial"/>
          <w:color w:val="1E293B"/>
          <w:sz w:val="22"/>
          <w:szCs w:val="22"/>
        </w:rPr>
        <w:t xml:space="preserve">Activation: Self-serve onboarding with a 30-day pilot using the lab's own historical denial data (de-identified for demo purposes or with BAA in place for live data). Labs see their first recovered revenue within 2–3 weeks. Interactive ROI calculators embedded in the trial show projected annual recovery based on their actual denial volume.</w:t>
      </w:r>
    </w:p>
    <w:p>
      <w:pPr>
        <w:pStyle w:val="ListParagraph"/>
        <w:numPr>
          <w:ilvl w:val="0"/>
          <w:numId w:val="2"/>
        </w:numPr>
        <w:spacing w:before="40" w:after="80"/>
      </w:pPr>
      <w:r>
        <w:rPr>
          <w:rFonts w:ascii="Arial" w:cs="Arial" w:eastAsia="Arial" w:hAnsi="Arial"/>
          <w:color w:val="1E293B"/>
          <w:sz w:val="22"/>
          <w:szCs w:val="22"/>
        </w:rPr>
        <w:t xml:space="preserve">Conversion: Following the 30-day pilot, Ardia's sales-assist layer (a dedicated lab success manager) engages to review pilot results, address procurement questions, execute the BAA, and convert to a Tier 1 success fee agreement. Typical conversion timeline: 4–8 weeks from first trial to signed contract versus 6–18 months for traditional enterprise RCM sales.</w:t>
      </w:r>
    </w:p>
    <w:p>
      <w:pPr>
        <w:pStyle w:val="ListParagraph"/>
        <w:numPr>
          <w:ilvl w:val="0"/>
          <w:numId w:val="2"/>
        </w:numPr>
        <w:spacing w:before="40" w:after="80"/>
      </w:pPr>
      <w:r>
        <w:rPr>
          <w:rFonts w:ascii="Arial" w:cs="Arial" w:eastAsia="Arial" w:hAnsi="Arial"/>
          <w:color w:val="1E293B"/>
          <w:sz w:val="22"/>
          <w:szCs w:val="22"/>
        </w:rPr>
        <w:t xml:space="preserve">Expansion: As labs experience systematic recovery, the natural expansion path is to Tier 2 SaaS for full platform access and eventually to referral of affiliated practices and networks. Labs that participate in ACOs are natural pathways to AcoIQ enterprise contracts.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8. Go-to-Market Strategy: Phased Geographic Expansion</w:t>
      </w:r>
    </w:p>
    <w:p>
      <w:pPr>
        <w:pStyle w:val="Heading2"/>
        <w:spacing w:before="320" w:after="120"/>
      </w:pPr>
      <w:r>
        <w:rPr>
          <w:rFonts w:ascii="Arial" w:cs="Arial" w:eastAsia="Arial" w:hAnsi="Arial"/>
          <w:b/>
          <w:bCs/>
          <w:color w:val="0D9488"/>
          <w:sz w:val="28"/>
          <w:szCs w:val="28"/>
        </w:rPr>
        <w:t xml:space="preserve">Phase 1: DFW Beachhead (2026)</w:t>
      </w:r>
    </w:p>
    <w:p>
      <w:pPr>
        <w:spacing w:before="80" w:after="120" w:line="360" w:lineRule="auto"/>
        <w:jc w:val="both"/>
      </w:pPr>
      <w:r>
        <w:rPr>
          <w:rFonts w:ascii="Arial" w:cs="Arial" w:eastAsia="Arial" w:hAnsi="Arial"/>
          <w:b w:val="false"/>
          <w:bCs w:val="false"/>
          <w:i w:val="false"/>
          <w:iCs w:val="false"/>
          <w:color w:val="1E293B"/>
          <w:sz w:val="22"/>
          <w:szCs w:val="22"/>
        </w:rPr>
        <w:t xml:space="preserve">Ardia's initial market focus is the Dallas-Fort Worth metropolitan area and North Texas. This is not merely a convenient headquarters proximity — DFW is home to the specific organizations (HealthTrackRx, Principle Health Systems, BSWQA, SWHR) that represent ideal early adopters: technology-forward, innovation-hungry, and already operating at scale. The DFW Phase 1 target represents a $200–300M addressable revenue pool from lab denial recovery alone.</w:t>
      </w:r>
    </w:p>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Phase 1 channel strategies include direct outreach to lab directors at the five priority labs identified above, a presence at the ADLM Annual Scientific Meeting (Anaheim, CA, 2026) where 69% of attendees plan to purchase a product within two years, and the SOFT (Society of Forensic Toxicologists) annual conference for toxicology lab outreach. Advisory board recruitment of DFW-based lab directors (MD/PhD) and NAACOS-connected ACO physician leaders will accelerate warm introductions.</w:t>
      </w:r>
    </w:p>
    <w:p>
      <w:pPr>
        <w:pStyle w:val="Heading2"/>
        <w:spacing w:before="320" w:after="120"/>
      </w:pPr>
      <w:r>
        <w:rPr>
          <w:rFonts w:ascii="Arial" w:cs="Arial" w:eastAsia="Arial" w:hAnsi="Arial"/>
          <w:b/>
          <w:bCs/>
          <w:color w:val="0D9488"/>
          <w:sz w:val="28"/>
          <w:szCs w:val="28"/>
        </w:rPr>
        <w:t xml:space="preserve">Phase 2: Texas + Behavioral Health Expansion (2027)</w:t>
      </w:r>
    </w:p>
    <w:p>
      <w:pPr>
        <w:spacing w:before="80" w:after="120" w:line="360" w:lineRule="auto"/>
        <w:jc w:val="both"/>
      </w:pPr>
      <w:r>
        <w:rPr>
          <w:rFonts w:ascii="Arial" w:cs="Arial" w:eastAsia="Arial" w:hAnsi="Arial"/>
          <w:b w:val="false"/>
          <w:bCs w:val="false"/>
          <w:i w:val="false"/>
          <w:iCs w:val="false"/>
          <w:color w:val="1E293B"/>
          <w:sz w:val="22"/>
          <w:szCs w:val="22"/>
        </w:rPr>
        <w:t xml:space="preserve">Phase 2 expands across the Texas independent lab market and adds the behavioral health and addiction medicine vertical. Key targets include BHG (Behavioral Health Group) — the largest Joint Commission-accredited OTP network in the U.S. with 117 locations and 42,000+ patients — and Metrocare Services, serving 50,000+ patients annually as the largest mental health provider in Dallas County. Texas's 58 MSSP ACOs represent the ACO expansion pathway.</w:t>
      </w:r>
    </w:p>
    <w:p>
      <w:pPr>
        <w:pStyle w:val="Heading2"/>
        <w:spacing w:before="320" w:after="120"/>
      </w:pPr>
      <w:r>
        <w:rPr>
          <w:rFonts w:ascii="Arial" w:cs="Arial" w:eastAsia="Arial" w:hAnsi="Arial"/>
          <w:b/>
          <w:bCs/>
          <w:color w:val="0D9488"/>
          <w:sz w:val="28"/>
          <w:szCs w:val="28"/>
        </w:rPr>
        <w:t xml:space="preserve">Phase 3: National Expansion (2028+)</w:t>
      </w:r>
    </w:p>
    <w:p>
      <w:pPr>
        <w:spacing w:before="80" w:after="120" w:line="360" w:lineRule="auto"/>
        <w:jc w:val="both"/>
      </w:pPr>
      <w:r>
        <w:rPr>
          <w:rFonts w:ascii="Arial" w:cs="Arial" w:eastAsia="Arial" w:hAnsi="Arial"/>
          <w:b w:val="false"/>
          <w:bCs w:val="false"/>
          <w:i w:val="false"/>
          <w:iCs w:val="false"/>
          <w:color w:val="1E293B"/>
          <w:sz w:val="22"/>
          <w:szCs w:val="22"/>
        </w:rPr>
        <w:t xml:space="preserve">National expansion follows proven playbook replication in Texas, leveraging the regulatory moat created by SB 1188/TRAIGA compliance (increasingly adopted by other states), reference customers, and enterprise ACO contracts as credentialing for hospital system lab networks, national OTP chains, and PE-backed lab rollup platforms.</w:t>
      </w:r>
    </w:p>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9. Financial Projections</w:t>
      </w:r>
    </w:p>
    <w:p>
      <w:pPr>
        <w:pStyle w:val="Heading2"/>
        <w:spacing w:before="320" w:after="120"/>
      </w:pPr>
      <w:r>
        <w:rPr>
          <w:rFonts w:ascii="Arial" w:cs="Arial" w:eastAsia="Arial" w:hAnsi="Arial"/>
          <w:b/>
          <w:bCs/>
          <w:color w:val="0D9488"/>
          <w:sz w:val="28"/>
          <w:szCs w:val="28"/>
        </w:rPr>
        <w:t xml:space="preserve">9.1 Five-Year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12"/>
        <w:gridCol w:w="1312"/>
        <w:gridCol w:w="1312"/>
        <w:gridCol w:w="1312"/>
        <w:gridCol w:w="1312"/>
      </w:tblGrid>
      <w:tr>
        <w:trPr>
          <w:tblHeader/>
        </w:trPr>
        <w:tc>
          <w:tcPr>
            <w:tcW w:type="dxa" w:w="28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Metric</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2026</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2027</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2028</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2029</w:t>
            </w:r>
          </w:p>
        </w:tc>
        <w:tc>
          <w:tcPr>
            <w:tcW w:type="dxa" w:w="1312"/>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2030</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Paying Labs</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165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340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Contracts</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Total ARR ($M)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$24.5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$51.0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Success Fee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$5.2M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SaaS Revenue</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$3.1M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$8.0M</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$17.0M</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ACO Intelligence Revenue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$0.4M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$1.5M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$5.0M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$12.0M</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Gross Margin</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62%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70%</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80%</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EBITDA Margin</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(85%)</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(22%)</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38%</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44%</w:t>
            </w:r>
          </w:p>
        </w:tc>
      </w:tr>
      <w:tr>
        <w:tc>
          <w:tcPr>
            <w:tcW w:type="dxa" w:w="28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Headcount</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12</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55</w:t>
            </w:r>
          </w:p>
        </w:tc>
        <w:tc>
          <w:tcPr>
            <w:tcW w:type="dxa" w:w="1312"/>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95</w:t>
            </w:r>
          </w:p>
        </w:tc>
      </w:tr>
      <w:tr>
        <w:tc>
          <w:tcPr>
            <w:tcW w:type="dxa" w:w="28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Cash Burn (cumulative)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($2.8M)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($3.6M)</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c>
          <w:tcPr>
            <w:tcW w:type="dxa" w:w="1312"/>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w:t>
            </w:r>
          </w:p>
        </w:tc>
      </w:tr>
    </w:tbl>
    <w:p>
      <w:pPr>
        <w:spacing w:before="0" w:after="12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val="false"/>
          <w:iCs w:val="false"/>
          <w:color w:val="1E293B"/>
          <w:sz w:val="22"/>
          <w:szCs w:val="22"/>
        </w:rPr>
        <w:t xml:space="preserve">Key modeling assumptions: 15% success fee on average $240,000 recovered per lab per year (based on a 15% denial rate on $3.2M average billings, 50% recovery rate). 35% annual lab count growth from Year 2 through Year 5, driven primarily by referrals and conference-driven PLG. SaaS conversion at 60% of the lab base by Year 3. ACO Intelligence average contract value of $180,000–$420,000 per year per ACO.</w:t>
      </w:r>
    </w:p>
    <w:p>
      <w:pPr>
        <w:pStyle w:val="Heading2"/>
        <w:spacing w:before="320" w:after="120"/>
      </w:pPr>
      <w:r>
        <w:rPr>
          <w:rFonts w:ascii="Arial" w:cs="Arial" w:eastAsia="Arial" w:hAnsi="Arial"/>
          <w:b/>
          <w:bCs/>
          <w:color w:val="0D9488"/>
          <w:sz w:val="28"/>
          <w:szCs w:val="28"/>
        </w:rPr>
        <w:t xml:space="preserve">9.2 Use of Seed Proceeds ($3.5M)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080"/>
        <w:gridCol w:w="1080"/>
        <w:gridCol w:w="4640"/>
      </w:tblGrid>
      <w:tr>
        <w:trPr>
          <w:tblHeader/>
        </w:trPr>
        <w:tc>
          <w:tcPr>
            <w:tcW w:type="dxa" w:w="25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Category</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Allocation</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Amount</w:t>
            </w:r>
          </w:p>
        </w:tc>
        <w:tc>
          <w:tcPr>
            <w:tcW w:type="dxa" w:w="464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Key Investments</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Engineering &amp; AI</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40%</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$1.40M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 AI/ML engineers, platform build, FHIR/HL7/EDI integration, security audit</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Sales &amp; GTM</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$0.88M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VP Sales hire, ADLM/SOFT/NAACOS conferences, PLG tooling, CRM, pilot conversion</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Operations &amp; Compliance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$0.63M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Regulatory counsel, HIPAA BAA, SB 1188, NIST AI RMF program, CLIA integration</w:t>
            </w:r>
          </w:p>
        </w:tc>
      </w:tr>
      <w:tr>
        <w:tc>
          <w:tcPr>
            <w:tcW w:type="dxa" w:w="25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G&amp;A &amp; Legal</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10%</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$0.35M</w:t>
            </w:r>
          </w:p>
        </w:tc>
        <w:tc>
          <w:tcPr>
            <w:tcW w:type="dxa" w:w="464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Accounting, fractional CFO, IP strategy, Delaware corp, D&amp;O insurance</w:t>
            </w:r>
          </w:p>
        </w:tc>
      </w:tr>
      <w:tr>
        <w:tc>
          <w:tcPr>
            <w:tcW w:type="dxa" w:w="25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Reserve</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7%</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$0.25M</w:t>
            </w:r>
          </w:p>
        </w:tc>
        <w:tc>
          <w:tcPr>
            <w:tcW w:type="dxa" w:w="464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Emergency runway buffer and strategic advisor engagement</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10. Team and Advisors</w:t>
      </w:r>
    </w:p>
    <w:p>
      <w:pPr>
        <w:pStyle w:val="Heading2"/>
        <w:spacing w:before="320" w:after="120"/>
      </w:pPr>
      <w:r>
        <w:rPr>
          <w:rFonts w:ascii="Arial" w:cs="Arial" w:eastAsia="Arial" w:hAnsi="Arial"/>
          <w:b/>
          <w:bCs/>
          <w:color w:val="0D9488"/>
          <w:sz w:val="28"/>
          <w:szCs w:val="28"/>
        </w:rPr>
        <w:t xml:space="preserve">10.1 Founding Team</w:t>
      </w:r>
    </w:p>
    <w:p>
      <w:pPr>
        <w:spacing w:before="80" w:after="120" w:line="360" w:lineRule="auto"/>
        <w:jc w:val="both"/>
      </w:pPr>
      <w:r>
        <w:rPr>
          <w:rFonts w:ascii="Arial" w:cs="Arial" w:eastAsia="Arial" w:hAnsi="Arial"/>
          <w:b w:val="false"/>
          <w:bCs w:val="false"/>
          <w:i w:val="false"/>
          <w:iCs w:val="false"/>
          <w:color w:val="1E293B"/>
          <w:sz w:val="22"/>
          <w:szCs w:val="22"/>
        </w:rPr>
        <w:t xml:space="preserve">Ardia Health is being built by a DFW-based founding team with direct operational experience in laboratory billing, healthcare AI, and Texas regulatory compliance. The company is actively hiring the following roles to complete the founding team:</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Chief Technology Officer: Seeking a 2× exited health tech engineer with LLM/RAG architecture experience and HIPAA-compliant infrastructure design background. Target hire: Q2 2026.</w:t>
      </w:r>
    </w:p>
    <w:p>
      <w:pPr>
        <w:pStyle w:val="ListParagraph"/>
        <w:numPr>
          <w:ilvl w:val="0"/>
          <w:numId w:val="2"/>
        </w:numPr>
        <w:spacing w:before="40" w:after="80"/>
      </w:pPr>
      <w:r>
        <w:rPr>
          <w:rFonts w:ascii="Arial" w:cs="Arial" w:eastAsia="Arial" w:hAnsi="Arial"/>
          <w:color w:val="1E293B"/>
          <w:sz w:val="22"/>
          <w:szCs w:val="22"/>
        </w:rPr>
        <w:t xml:space="preserve">VP Sales: Seeking a healthcare SaaS sales leader with 10+ years of lab and RCM enterprise sales experience, existing DFW lab director relationships, and $3M+ quota carry experience. Target hire: Q2 2026.</w:t>
      </w:r>
    </w:p>
    <w:p>
      <w:pPr>
        <w:pStyle w:val="ListParagraph"/>
        <w:numPr>
          <w:ilvl w:val="0"/>
          <w:numId w:val="2"/>
        </w:numPr>
        <w:spacing w:before="40" w:after="80"/>
      </w:pPr>
      <w:r>
        <w:rPr>
          <w:rFonts w:ascii="Arial" w:cs="Arial" w:eastAsia="Arial" w:hAnsi="Arial"/>
          <w:color w:val="1E293B"/>
          <w:sz w:val="22"/>
          <w:szCs w:val="22"/>
        </w:rPr>
        <w:t xml:space="preserve">Clinical Advisor (MD/PhD): Seeking an active CLIA lab director with molecular diagnostics expertise and ACO physician leadership background, ideally with UTSW or BSWQA affiliation. Target: concurrent with Series A preparation.</w:t>
      </w:r>
    </w:p>
    <w:p>
      <w:pPr>
        <w:pStyle w:val="Heading2"/>
        <w:spacing w:before="320" w:after="120"/>
      </w:pPr>
      <w:r>
        <w:rPr>
          <w:rFonts w:ascii="Arial" w:cs="Arial" w:eastAsia="Arial" w:hAnsi="Arial"/>
          <w:b/>
          <w:bCs/>
          <w:color w:val="0D9488"/>
          <w:sz w:val="28"/>
          <w:szCs w:val="28"/>
        </w:rPr>
        <w:t xml:space="preserve">10.2 Advisory Board Targets</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actively recruiting advisors in the following domains:</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 AI VC Partner: For fundraising strategy, institutional investor introductions, and Series A preparation. Target firms: Oak HC/FT, General Catalyst, a16z Bio+Health, 8VC.</w:t>
      </w:r>
    </w:p>
    <w:p>
      <w:pPr>
        <w:pStyle w:val="ListParagraph"/>
        <w:numPr>
          <w:ilvl w:val="0"/>
          <w:numId w:val="2"/>
        </w:numPr>
        <w:spacing w:before="40" w:after="80"/>
      </w:pPr>
      <w:r>
        <w:rPr>
          <w:rFonts w:ascii="Arial" w:cs="Arial" w:eastAsia="Arial" w:hAnsi="Arial"/>
          <w:color w:val="1E293B"/>
          <w:sz w:val="22"/>
          <w:szCs w:val="22"/>
        </w:rPr>
        <w:t xml:space="preserve">NAACOS / ADLM Network Lead: For ACO executive introductions and lab director conference relationships.</w:t>
      </w:r>
    </w:p>
    <w:p>
      <w:pPr>
        <w:pStyle w:val="ListParagraph"/>
        <w:numPr>
          <w:ilvl w:val="0"/>
          <w:numId w:val="2"/>
        </w:numPr>
        <w:spacing w:before="40" w:after="80"/>
      </w:pPr>
      <w:r>
        <w:rPr>
          <w:rFonts w:ascii="Arial" w:cs="Arial" w:eastAsia="Arial" w:hAnsi="Arial"/>
          <w:color w:val="1E293B"/>
          <w:sz w:val="22"/>
          <w:szCs w:val="22"/>
        </w:rPr>
        <w:t xml:space="preserve">Texas Healthcare Attorney: For SB 1188/TRAIGA compliance review and ongoing regulatory monitoring.</w:t>
      </w:r>
    </w:p>
    <w:p>
      <w:pPr>
        <w:pStyle w:val="ListParagraph"/>
        <w:numPr>
          <w:ilvl w:val="0"/>
          <w:numId w:val="2"/>
        </w:numPr>
        <w:spacing w:before="40" w:after="80"/>
      </w:pPr>
      <w:r>
        <w:rPr>
          <w:rFonts w:ascii="Arial" w:cs="Arial" w:eastAsia="Arial" w:hAnsi="Arial"/>
          <w:color w:val="1E293B"/>
          <w:sz w:val="22"/>
          <w:szCs w:val="22"/>
        </w:rPr>
        <w:t xml:space="preserve">DFW Accelerator Connection: Health Wildcatters or Techstars Physical Health Fort Worth for local ecosystem access and demo day exposure.</w:t>
      </w:r>
    </w:p>
    <w:p>
      <w:pPr>
        <w:pStyle w:val="Heading1"/>
        <w:pBdr>
          <w:bottom w:val="single" w:color="0D9488" w:sz="8" w:space="4"/>
        </w:pBdr>
        <w:spacing w:before="480" w:after="160"/>
      </w:pPr>
      <w:r>
        <w:rPr>
          <w:rFonts w:ascii="Arial" w:cs="Arial" w:eastAsia="Arial" w:hAnsi="Arial"/>
          <w:b/>
          <w:bCs/>
          <w:color w:val="0A1628"/>
          <w:sz w:val="36"/>
          <w:szCs w:val="36"/>
        </w:rPr>
        <w:t xml:space="preserve">11. Risk Analysis</w:t>
      </w:r>
    </w:p>
    <w:p>
      <w:pPr>
        <w:pStyle w:val="Heading2"/>
        <w:spacing w:before="320" w:after="120"/>
      </w:pPr>
      <w:r>
        <w:rPr>
          <w:rFonts w:ascii="Arial" w:cs="Arial" w:eastAsia="Arial" w:hAnsi="Arial"/>
          <w:b/>
          <w:bCs/>
          <w:color w:val="0D9488"/>
          <w:sz w:val="28"/>
          <w:szCs w:val="28"/>
        </w:rPr>
        <w:t xml:space="preserve">11.1 Key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80"/>
        <w:gridCol w:w="1000"/>
        <w:gridCol w:w="5180"/>
      </w:tblGrid>
      <w:tr>
        <w:trPr>
          <w:tblHeader/>
        </w:trPr>
        <w:tc>
          <w:tcPr>
            <w:tcW w:type="dxa" w:w="21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Risk</w:t>
            </w:r>
          </w:p>
        </w:tc>
        <w:tc>
          <w:tcPr>
            <w:tcW w:type="dxa" w:w="10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Probability</w:t>
            </w:r>
          </w:p>
        </w:tc>
        <w:tc>
          <w:tcPr>
            <w:tcW w:type="dxa" w:w="1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Impact</w:t>
            </w:r>
          </w:p>
        </w:tc>
        <w:tc>
          <w:tcPr>
            <w:tcW w:type="dxa" w:w="518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Mitigation</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PAMA cuts delayed again (Congressional moratorium extended)</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 — reduces lab urgency to adopt</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Platform value proposition independent of PAMA; ACO and commercial payer denials unaffected</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Payer AI denial engines become unchallengeable</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reduces appeal win rates</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Continuous model retraining on adjudication outcomes; focus on documentation prevention vs. appeal</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Hospital-focused RCM players pivot to labs (competitive entry)</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increases competition</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18–24 month head start; deep lab domain expertise and TX regulatory compliance as moat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Data security breach / HIPAA incident</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Very high — existential threat</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AES-256, US-only AWS, RBAC, annual SOC2 audit, cyber insurance; BAA framework</w:t>
            </w:r>
          </w:p>
        </w:tc>
      </w:tr>
      <w:tr>
        <w:tc>
          <w:tcPr>
            <w:tcW w:type="dxa" w:w="21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Key hire failure (CTO / VP Sales)</w:t>
            </w:r>
          </w:p>
        </w:tc>
        <w:tc>
          <w:tcPr>
            <w:tcW w:type="dxa" w:w="10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Medium</w:t>
            </w:r>
          </w:p>
        </w:tc>
        <w:tc>
          <w:tcPr>
            <w:tcW w:type="dxa" w:w="1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delays MVP by 6+ months</w:t>
            </w:r>
          </w:p>
        </w:tc>
        <w:tc>
          <w:tcPr>
            <w:tcW w:type="dxa" w:w="518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Parallel recruitment tracks; fractional CTO bridge; advisor network for interim support</w:t>
            </w:r>
          </w:p>
        </w:tc>
      </w:tr>
      <w:tr>
        <w:tc>
          <w:tcPr>
            <w:tcW w:type="dxa" w:w="21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Series A bridge if milestones slip</w:t>
            </w:r>
          </w:p>
        </w:tc>
        <w:tc>
          <w:tcPr>
            <w:tcW w:type="dxa" w:w="10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Low-Medium</w:t>
            </w:r>
          </w:p>
        </w:tc>
        <w:tc>
          <w:tcPr>
            <w:tcW w:type="dxa" w:w="1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High — requires bridge round</w:t>
            </w:r>
          </w:p>
        </w:tc>
        <w:tc>
          <w:tcPr>
            <w:tcW w:type="dxa" w:w="518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$250K reserve; convertible note bridge option; milestone buffer built into projections</w:t>
            </w:r>
          </w:p>
        </w:tc>
      </w:tr>
    </w:tbl>
    <w:p>
      <w:r>
        <w:br w:type="page"/>
      </w:r>
    </w:p>
    <w:p>
      <w:pPr>
        <w:pStyle w:val="Heading1"/>
        <w:pBdr>
          <w:bottom w:val="single" w:color="0D9488" w:sz="8" w:space="4"/>
        </w:pBdr>
        <w:spacing w:before="480" w:after="160"/>
      </w:pPr>
      <w:r>
        <w:rPr>
          <w:rFonts w:ascii="Arial" w:cs="Arial" w:eastAsia="Arial" w:hAnsi="Arial"/>
          <w:b/>
          <w:bCs/>
          <w:color w:val="0A1628"/>
          <w:sz w:val="36"/>
          <w:szCs w:val="36"/>
        </w:rPr>
        <w:t xml:space="preserve">12. The Investment Case</w:t>
      </w:r>
    </w:p>
    <w:p>
      <w:pPr>
        <w:pStyle w:val="Heading2"/>
        <w:spacing w:before="320" w:after="120"/>
      </w:pPr>
      <w:r>
        <w:rPr>
          <w:rFonts w:ascii="Arial" w:cs="Arial" w:eastAsia="Arial" w:hAnsi="Arial"/>
          <w:b/>
          <w:bCs/>
          <w:color w:val="0D9488"/>
          <w:sz w:val="28"/>
          <w:szCs w:val="28"/>
        </w:rPr>
        <w:t xml:space="preserve">12.1 Why Invest in Ardia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4"/>
              <w:left w:val="single" w:color="0D9488" w:sz="4"/>
              <w:bottom w:val="single" w:color="0D9488" w:sz="4"/>
              <w:right w:val="single" w:color="0D9488" w:sz="4"/>
            </w:tcBorders>
            <w:shd w:fill="CCFBF1" w:val="clear"/>
            <w:tcMar>
              <w:top w:type="dxa" w:w="160"/>
              <w:left w:type="dxa" w:w="240"/>
              <w:bottom w:type="dxa" w:w="160"/>
              <w:right w:type="dxa" w:w="240"/>
            </w:tcMar>
          </w:tcPr>
          <w:p>
            <w:pPr>
              <w:spacing w:before="60" w:after="60"/>
            </w:pPr>
            <w:r>
              <w:rPr>
                <w:rFonts w:ascii="Arial" w:cs="Arial" w:eastAsia="Arial" w:hAnsi="Arial"/>
                <w:b/>
                <w:bCs/>
                <w:color w:val="0A1628"/>
                <w:sz w:val="22"/>
                <w:szCs w:val="22"/>
              </w:rPr>
              <w:t xml:space="preserve">Category-defining white space: </w:t>
            </w:r>
            <w:r>
              <w:rPr>
                <w:rFonts w:ascii="Arial" w:cs="Arial" w:eastAsia="Arial" w:hAnsi="Arial"/>
                <w:color w:val="475569"/>
                <w:sz w:val="22"/>
                <w:szCs w:val="22"/>
              </w:rPr>
              <w:t xml:space="preserve">No AI-native platform serves independent labs. Every major competitor targets hospitals. Ardia is building the category from scratch in a $70B market.</w:t>
            </w:r>
          </w:p>
          <w:p>
            <w:pPr>
              <w:spacing w:before="60" w:after="60"/>
            </w:pPr>
            <w:r>
              <w:rPr>
                <w:rFonts w:ascii="Arial" w:cs="Arial" w:eastAsia="Arial" w:hAnsi="Arial"/>
                <w:b/>
                <w:bCs/>
                <w:color w:val="0A1628"/>
                <w:sz w:val="22"/>
                <w:szCs w:val="22"/>
              </w:rPr>
              <w:t xml:space="preserve">Structural tailwinds: </w:t>
            </w:r>
            <w:r>
              <w:rPr>
                <w:rFonts w:ascii="Arial" w:cs="Arial" w:eastAsia="Arial" w:hAnsi="Arial"/>
                <w:color w:val="475569"/>
                <w:sz w:val="22"/>
                <w:szCs w:val="22"/>
              </w:rPr>
              <w:t xml:space="preserve">PAMA 2027, payer AI denial growth, Texas regulatory moat, and healthcare AI VC premium (83% per-round premium vs. non-AI health tech) all converge in 2026.</w:t>
            </w:r>
          </w:p>
          <w:p>
            <w:pPr>
              <w:spacing w:before="60" w:after="60"/>
            </w:pPr>
            <w:r>
              <w:rPr>
                <w:rFonts w:ascii="Arial" w:cs="Arial" w:eastAsia="Arial" w:hAnsi="Arial"/>
                <w:b/>
                <w:bCs/>
                <w:color w:val="0A1628"/>
                <w:sz w:val="22"/>
                <w:szCs w:val="22"/>
              </w:rPr>
              <w:t xml:space="preserve">Risk-free GTM: </w:t>
            </w:r>
            <w:r>
              <w:rPr>
                <w:rFonts w:ascii="Arial" w:cs="Arial" w:eastAsia="Arial" w:hAnsi="Arial"/>
                <w:color w:val="475569"/>
                <w:sz w:val="22"/>
                <w:szCs w:val="22"/>
              </w:rPr>
              <w:t xml:space="preserve">15% success fee model — labs pay only when Ardia recovers money. Zero procurement friction enables rapid adoption without enterprise sales cycle timelines.</w:t>
            </w:r>
          </w:p>
          <w:p>
            <w:pPr>
              <w:spacing w:before="60" w:after="60"/>
            </w:pPr>
            <w:r>
              <w:rPr>
                <w:rFonts w:ascii="Arial" w:cs="Arial" w:eastAsia="Arial" w:hAnsi="Arial"/>
                <w:b/>
                <w:bCs/>
                <w:color w:val="0A1628"/>
                <w:sz w:val="22"/>
                <w:szCs w:val="22"/>
              </w:rPr>
              <w:t xml:space="preserve">Texas first-mover compliance: </w:t>
            </w:r>
            <w:r>
              <w:rPr>
                <w:rFonts w:ascii="Arial" w:cs="Arial" w:eastAsia="Arial" w:hAnsi="Arial"/>
                <w:color w:val="475569"/>
                <w:sz w:val="22"/>
                <w:szCs w:val="22"/>
              </w:rPr>
              <w:t xml:space="preserve">SB 1188 + TRAIGA compliance built natively creates structural barriers for late entrants who must pay to retrofit compliance into existing architectures.</w:t>
            </w:r>
          </w:p>
          <w:p>
            <w:pPr>
              <w:spacing w:before="60" w:after="60"/>
            </w:pPr>
            <w:r>
              <w:rPr>
                <w:rFonts w:ascii="Arial" w:cs="Arial" w:eastAsia="Arial" w:hAnsi="Arial"/>
                <w:b/>
                <w:bCs/>
                <w:color w:val="0A1628"/>
                <w:sz w:val="22"/>
                <w:szCs w:val="22"/>
              </w:rPr>
              <w:t xml:space="preserve">Validated exit market: </w:t>
            </w:r>
            <w:r>
              <w:rPr>
                <w:rFonts w:ascii="Arial" w:cs="Arial" w:eastAsia="Arial" w:hAnsi="Arial"/>
                <w:color w:val="475569"/>
                <w:sz w:val="22"/>
                <w:szCs w:val="22"/>
              </w:rPr>
              <w:t xml:space="preserve">R1 RCM $8.9B buyout, Waystar $3.5B IPO, AKASA $205M funding. Strategic acquirers (Oracle Health, Epic, Quest Diagnostics, Lab Corp) have the motive, means, and precedent for lab-specific RCM acquisitions.</w:t>
            </w:r>
          </w:p>
        </w:tc>
      </w:tr>
    </w:tbl>
    <w:p>
      <w:pPr>
        <w:pStyle w:val="Heading2"/>
        <w:spacing w:before="320" w:after="120"/>
      </w:pPr>
      <w:r>
        <w:rPr>
          <w:rFonts w:ascii="Arial" w:cs="Arial" w:eastAsia="Arial" w:hAnsi="Arial"/>
          <w:b/>
          <w:bCs/>
          <w:color w:val="0D9488"/>
          <w:sz w:val="28"/>
          <w:szCs w:val="28"/>
        </w:rPr>
        <w:t xml:space="preserve">12.2 Target Investor Profile</w:t>
      </w:r>
    </w:p>
    <w:p>
      <w:pPr>
        <w:spacing w:before="80" w:after="120" w:line="360" w:lineRule="auto"/>
        <w:jc w:val="both"/>
      </w:pPr>
      <w:r>
        <w:rPr>
          <w:rFonts w:ascii="Arial" w:cs="Arial" w:eastAsia="Arial" w:hAnsi="Arial"/>
          <w:b w:val="false"/>
          <w:bCs w:val="false"/>
          <w:i w:val="false"/>
          <w:iCs w:val="false"/>
          <w:color w:val="1E293B"/>
          <w:sz w:val="22"/>
          <w:szCs w:val="22"/>
        </w:rPr>
        <w:t xml:space="preserve">Ardia is raising this seed round from a focused group of investors with deep healthcare technology expertise. The ideal co-investors include:</w:t>
      </w:r>
    </w:p>
    <w:p>
      <w:pPr>
        <w:spacing w:before="0" w:after="120"/>
      </w:pPr>
      <w:r>
        <w:rPr>
          <w:rFonts w:ascii="Arial" w:cs="Arial" w:eastAsia="Arial" w:hAnsi="Arial"/>
          <w:sz w:val="22"/>
          <w:szCs w:val="22"/>
        </w:rPr>
        <w:t xml:space="preserve"/>
      </w:r>
    </w:p>
    <w:p>
      <w:pPr>
        <w:pStyle w:val="ListParagraph"/>
        <w:numPr>
          <w:ilvl w:val="0"/>
          <w:numId w:val="2"/>
        </w:numPr>
        <w:spacing w:before="40" w:after="80"/>
      </w:pPr>
      <w:r>
        <w:rPr>
          <w:rFonts w:ascii="Arial" w:cs="Arial" w:eastAsia="Arial" w:hAnsi="Arial"/>
          <w:color w:val="1E293B"/>
          <w:sz w:val="22"/>
          <w:szCs w:val="22"/>
        </w:rPr>
        <w:t xml:space="preserve">Healthcare-Focused VCs: Oak HC/FT (healthcare growth equity), General Catalyst ($8B fund, $750M Health Assurance platform), a16z Bio+Health, Bessemer Venture Partners (health tech track record), 8VC ($998M Fund VI, healthcare portfolio).</w:t>
      </w:r>
    </w:p>
    <w:p>
      <w:pPr>
        <w:pStyle w:val="ListParagraph"/>
        <w:numPr>
          <w:ilvl w:val="0"/>
          <w:numId w:val="2"/>
        </w:numPr>
        <w:spacing w:before="40" w:after="80"/>
      </w:pPr>
      <w:r>
        <w:rPr>
          <w:rFonts w:ascii="Arial" w:cs="Arial" w:eastAsia="Arial" w:hAnsi="Arial"/>
          <w:color w:val="1E293B"/>
          <w:sz w:val="22"/>
          <w:szCs w:val="22"/>
        </w:rPr>
        <w:t xml:space="preserve">Texas-Based Angels and Family Offices: DFW healthcare operators, lab executives, and physicians who understand the market firsthand and can provide warm introductions to Phase 1 targets.</w:t>
      </w:r>
    </w:p>
    <w:p>
      <w:pPr>
        <w:pStyle w:val="ListParagraph"/>
        <w:numPr>
          <w:ilvl w:val="0"/>
          <w:numId w:val="2"/>
        </w:numPr>
        <w:spacing w:before="40" w:after="80"/>
      </w:pPr>
      <w:r>
        <w:rPr>
          <w:rFonts w:ascii="Arial" w:cs="Arial" w:eastAsia="Arial" w:hAnsi="Arial"/>
          <w:color w:val="1E293B"/>
          <w:sz w:val="22"/>
          <w:szCs w:val="22"/>
        </w:rPr>
        <w:t xml:space="preserve">Strategic Angles: Healthcare AI accelerators (Health Wildcatters, Techstars Physical Health Fort Worth), revenue cycle industry executives, and former lab company executives.</w:t>
      </w:r>
    </w:p>
    <w:p>
      <w:pPr>
        <w:pStyle w:val="Heading2"/>
        <w:spacing w:before="320" w:after="120"/>
      </w:pPr>
      <w:r>
        <w:rPr>
          <w:rFonts w:ascii="Arial" w:cs="Arial" w:eastAsia="Arial" w:hAnsi="Arial"/>
          <w:b/>
          <w:bCs/>
          <w:color w:val="0D9488"/>
          <w:sz w:val="28"/>
          <w:szCs w:val="28"/>
        </w:rPr>
        <w:t xml:space="preserve">12.3 Terms and Contact</w:t>
      </w:r>
    </w:p>
    <w:p>
      <w:pPr>
        <w:spacing w:before="0"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Term</w:t>
            </w:r>
          </w:p>
        </w:tc>
        <w:tc>
          <w:tcPr>
            <w:tcW w:type="dxa" w:w="6360"/>
            <w:tcBorders>
              <w:top w:val="single" w:color="0D9488" w:sz="4"/>
              <w:left w:val="single" w:color="0D9488" w:sz="4"/>
              <w:bottom w:val="single" w:color="0D9488" w:sz="4"/>
              <w:right w:val="single" w:color="0D9488" w:sz="4"/>
            </w:tcBorders>
            <w:shd w:fill="0A1628" w:val="clear"/>
            <w:tcMar>
              <w:top w:type="dxa" w:w="80"/>
              <w:left w:type="dxa" w:w="120"/>
              <w:bottom w:type="dxa" w:w="80"/>
              <w:right w:type="dxa" w:w="120"/>
            </w:tcMar>
          </w:tcPr>
          <w:p>
            <w:pPr>
              <w:spacing w:before="0" w:after="0"/>
              <w:jc w:val="center"/>
            </w:pPr>
            <w:r>
              <w:rPr>
                <w:rFonts w:ascii="Arial" w:cs="Arial" w:eastAsia="Arial" w:hAnsi="Arial"/>
                <w:b/>
                <w:bCs/>
                <w:color w:val="FFFFFF"/>
                <w:sz w:val="18"/>
                <w:szCs w:val="18"/>
              </w:rPr>
              <w:t xml:space="preserve">Detail</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Instrument</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SAFE (Simple Agreement for Future Equity)</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Raise Amount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$3.5M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Post-Money Valuation Cap</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$18M</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Minimum Check Size</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$250,000</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Anticipated Close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Q2 2026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Lead Investor Status</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Open — seeking a lead with healthcare AI experience</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Company Domicile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Delaware LLC, DFW headquarters (Argyle, TX 76226)</w:t>
            </w:r>
          </w:p>
        </w:tc>
      </w:tr>
      <w:tr>
        <w:tc>
          <w:tcPr>
            <w:tcW w:type="dxa" w:w="300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Contact</w:t>
            </w:r>
          </w:p>
        </w:tc>
        <w:tc>
          <w:tcPr>
            <w:tcW w:type="dxa" w:w="63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founders@ardiahealthlabs.com</w:t>
            </w:r>
          </w:p>
        </w:tc>
      </w:tr>
      <w:tr>
        <w:tc>
          <w:tcPr>
            <w:tcW w:type="dxa" w:w="300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left"/>
            </w:pPr>
            <w:r>
              <w:rPr>
                <w:rFonts w:ascii="Arial" w:cs="Arial" w:eastAsia="Arial" w:hAnsi="Arial"/>
                <w:b/>
                <w:bCs/>
                <w:color w:val="0A1628"/>
                <w:sz w:val="18"/>
                <w:szCs w:val="18"/>
              </w:rPr>
              <w:t xml:space="preserve">Website</w:t>
            </w:r>
          </w:p>
        </w:tc>
        <w:tc>
          <w:tcPr>
            <w:tcW w:type="dxa" w:w="6360"/>
            <w:tcBorders>
              <w:top w:val="single" w:color="CBD5E1" w:sz="4"/>
              <w:left w:val="single" w:color="CBD5E1" w:sz="4"/>
              <w:bottom w:val="single" w:color="CBD5E1" w:sz="4"/>
              <w:right w:val="single" w:color="CBD5E1" w:sz="4"/>
            </w:tcBorders>
            <w:shd w:fill="F8FAFC" w:val="clear"/>
            <w:tcMar>
              <w:top w:type="dxa" w:w="60"/>
              <w:left w:type="dxa" w:w="120"/>
              <w:bottom w:type="dxa" w:w="60"/>
              <w:right w:type="dxa" w:w="120"/>
            </w:tcMar>
          </w:tcPr>
          <w:p>
            <w:pPr>
              <w:spacing w:before="0" w:after="0"/>
              <w:jc w:val="center"/>
            </w:pPr>
            <w:r>
              <w:rPr>
                <w:rFonts w:ascii="Arial" w:cs="Arial" w:eastAsia="Arial" w:hAnsi="Arial"/>
                <w:b w:val="false"/>
                <w:bCs w:val="false"/>
                <w:color w:val="475569"/>
                <w:sz w:val="18"/>
                <w:szCs w:val="18"/>
              </w:rPr>
              <w:t xml:space="preserve">ardiahealthlabs.com</w:t>
            </w:r>
          </w:p>
        </w:tc>
      </w:tr>
    </w:tbl>
    <w:p>
      <w:pPr>
        <w:spacing w:before="0" w:after="240"/>
      </w:pPr>
      <w:r>
        <w:rPr>
          <w:rFonts w:ascii="Arial" w:cs="Arial" w:eastAsia="Arial" w:hAnsi="Arial"/>
          <w:sz w:val="22"/>
          <w:szCs w:val="22"/>
        </w:rPr>
        <w:t xml:space="preserve"/>
      </w:r>
    </w:p>
    <w:p>
      <w:pPr>
        <w:spacing w:before="80" w:after="120" w:line="360" w:lineRule="auto"/>
        <w:jc w:val="both"/>
      </w:pPr>
      <w:r>
        <w:rPr>
          <w:rFonts w:ascii="Arial" w:cs="Arial" w:eastAsia="Arial" w:hAnsi="Arial"/>
          <w:b w:val="false"/>
          <w:bCs w:val="false"/>
          <w:i/>
          <w:iCs/>
          <w:color w:val="1E293B"/>
          <w:sz w:val="22"/>
          <w:szCs w:val="22"/>
        </w:rPr>
        <w:t xml:space="preserve">Ardia Health is building the infrastructure for a generation of independent labs that refuse to accept that the revenue they earned from testing patients must be surrendered to payer AI denial engines. The platform we are building will be the reason thousands of labs stay financially viable through PAMA 2027 and beyond — and the reason their patients continue to have access to the diagnostic testing that keeps them healthy.</w:t>
      </w:r>
    </w:p>
    <w:p>
      <w:pPr>
        <w:spacing w:before="0" w:after="240"/>
      </w:pPr>
      <w:r>
        <w:rPr>
          <w:rFonts w:ascii="Arial" w:cs="Arial" w:eastAsia="Arial" w:hAnsi="Arial"/>
          <w:sz w:val="22"/>
          <w:szCs w:val="22"/>
        </w:rPr>
        <w:t xml:space="preserve"/>
      </w:r>
    </w:p>
    <w:p>
      <w:pPr>
        <w:spacing w:before="0" w:after="80"/>
        <w:jc w:val="center"/>
      </w:pPr>
      <w:r>
        <w:rPr>
          <w:rFonts w:ascii="Arial" w:cs="Arial" w:eastAsia="Arial" w:hAnsi="Arial"/>
          <w:b/>
          <w:bCs/>
          <w:i/>
          <w:iCs/>
          <w:color w:val="0D9488"/>
          <w:sz w:val="22"/>
          <w:szCs w:val="22"/>
        </w:rPr>
        <w:t xml:space="preserve">— The Ardia Health Founding Team</w:t>
      </w:r>
    </w:p>
    <w:p>
      <w:pPr>
        <w:spacing w:before="0" w:after="80"/>
        <w:jc w:val="center"/>
      </w:pPr>
      <w:r>
        <w:rPr>
          <w:rFonts w:ascii="Arial" w:cs="Arial" w:eastAsia="Arial" w:hAnsi="Arial"/>
          <w:color w:val="475569"/>
          <w:sz w:val="20"/>
          <w:szCs w:val="20"/>
        </w:rPr>
        <w:t xml:space="preserve">founders@ardiahealthlabs.com  |  ardiahealthlabs.com</w:t>
      </w:r>
    </w:p>
    <w:p>
      <w:pPr>
        <w:spacing w:before="0" w:after="0"/>
        <w:jc w:val="center"/>
      </w:pPr>
      <w:r>
        <w:rPr>
          <w:rFonts w:ascii="Arial" w:cs="Arial" w:eastAsia="Arial" w:hAnsi="Arial"/>
          <w:color w:val="475569"/>
          <w:sz w:val="20"/>
          <w:szCs w:val="20"/>
        </w:rPr>
        <w:t xml:space="preserve">Dallas–Fort Worth, Texas  |  March 2026</w:t>
      </w:r>
    </w:p>
    <w:p>
      <w:pPr>
        <w:pBdr>
          <w:bottom w:val="single" w:color="CBD5E1" w:sz="4" w:space="2"/>
        </w:pBdr>
        <w:spacing w:before="240" w:after="240"/>
      </w:pPr>
      <w:r>
        <w:rPr>
          <w:rFonts w:ascii="Arial" w:cs="Arial" w:eastAsia="Arial" w:hAnsi="Arial"/>
          <w:sz w:val="4"/>
          <w:szCs w:val="4"/>
        </w:rPr>
        <w:t xml:space="preserve"/>
      </w:r>
    </w:p>
    <w:p>
      <w:pPr>
        <w:spacing w:before="160" w:after="80"/>
        <w:jc w:val="center"/>
      </w:pPr>
      <w:r>
        <w:rPr>
          <w:rFonts w:ascii="Arial" w:cs="Arial" w:eastAsia="Arial" w:hAnsi="Arial"/>
          <w:b/>
          <w:bCs/>
          <w:color w:val="475569"/>
          <w:sz w:val="18"/>
          <w:szCs w:val="18"/>
        </w:rPr>
        <w:t xml:space="preserve">DISCLAIMER</w:t>
      </w:r>
    </w:p>
    <w:p>
      <w:pPr>
        <w:spacing w:before="80" w:after="120" w:line="360" w:lineRule="auto"/>
        <w:jc w:val="both"/>
      </w:pPr>
      <w:r>
        <w:rPr>
          <w:rFonts w:ascii="Arial" w:cs="Arial" w:eastAsia="Arial" w:hAnsi="Arial"/>
          <w:b w:val="false"/>
          <w:bCs w:val="false"/>
          <w:i/>
          <w:iCs/>
          <w:color w:val="475569"/>
          <w:sz w:val="22"/>
          <w:szCs w:val="22"/>
        </w:rPr>
        <w:t xml:space="preserve">This document contains forward-looking statements and financial projections. These projections are estimates only and are not guarantees of future performance. This white paper and business plan is intended solely for accredited investors as defined under SEC Rule 501 of Regulation D. Distribution, reproduction, or disclosure of any part of this document without the written consent of Ardia Health is prohibited. This document does not constitute an offer to sell or a solicitation of an offer to buy any security.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026"/>
      </w:tabs>
      <w:spacing w:before="120" w:after="0"/>
    </w:pPr>
    <w:r>
      <w:rPr>
        <w:rFonts w:ascii="Arial" w:cs="Arial" w:eastAsia="Arial" w:hAnsi="Arial"/>
        <w:color w:val="475569"/>
        <w:sz w:val="16"/>
        <w:szCs w:val="16"/>
      </w:rPr>
      <w:t xml:space="preserve">Ardia Health  |  ardiahealthlabs.com  |  founders@ardiahealthlabs.com</w:t>
    </w:r>
    <w:r>
      <w:rPr>
        <w:rFonts w:ascii="Arial" w:cs="Arial" w:eastAsia="Arial" w:hAnsi="Arial"/>
        <w:sz w:val="16"/>
        <w:szCs w:val="16"/>
      </w:rPr>
      <w:t xml:space="preserve">	</w:t>
    </w:r>
    <w:r>
      <w:rPr>
        <w:rFonts w:ascii="Arial" w:cs="Arial" w:eastAsia="Arial" w:hAnsi="Arial"/>
        <w:color w:val="475569"/>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6" w:space="2"/>
      </w:pBdr>
      <w:tabs>
        <w:tab w:val="right" w:pos="9026"/>
      </w:tabs>
      <w:spacing w:before="0" w:after="120"/>
    </w:pPr>
    <w:r>
      <w:rPr>
        <w:rFonts w:ascii="Arial" w:cs="Arial" w:eastAsia="Arial" w:hAnsi="Arial"/>
        <w:b/>
        <w:bCs/>
        <w:color w:val="0D9488"/>
        <w:sz w:val="18"/>
        <w:szCs w:val="18"/>
      </w:rPr>
      <w:t xml:space="preserve">Ardia Health</w:t>
    </w:r>
    <w:r>
      <w:rPr>
        <w:rFonts w:ascii="Arial" w:cs="Arial" w:eastAsia="Arial" w:hAnsi="Arial"/>
        <w:sz w:val="18"/>
        <w:szCs w:val="18"/>
      </w:rPr>
      <w:t xml:space="preserve">	</w:t>
    </w:r>
    <w:r>
      <w:rPr>
        <w:rFonts w:ascii="Arial" w:cs="Arial" w:eastAsia="Arial" w:hAnsi="Arial"/>
        <w:i/>
        <w:iCs/>
        <w:color w:val="475569"/>
        <w:sz w:val="16"/>
        <w:szCs w:val="16"/>
      </w:rPr>
      <w:t xml:space="preserve">CONFIDENTIAL — FOR ACCREDITED INVESTORS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9488"/>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2026-03-13T06:50:59.340Z</dcterms:created>
  <dcterms:modified xsi:type="dcterms:W3CDTF">2026-03-13T06:50:59.341Z</dcterms:modified>
</cp:coreProperties>
</file>

<file path=docProps/custom.xml><?xml version="1.0" encoding="utf-8"?>
<Properties xmlns="http://schemas.openxmlformats.org/officeDocument/2006/custom-properties" xmlns:vt="http://schemas.openxmlformats.org/officeDocument/2006/docPropsVTypes"/>
</file>