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960"/>
      </w:pPr>
      <w:r>
        <w:rPr>
          <w:rFonts w:ascii="Arial" w:cs="Arial" w:eastAsia="Arial" w:hAnsi="Arial"/>
          <w:sz w:val="22"/>
          <w:szCs w:val="22"/>
        </w:rPr>
        <w:t xml:space="preserve"/>
      </w:r>
    </w:p>
    <w:p>
      <w:pPr>
        <w:spacing w:before="0" w:after="40"/>
        <w:jc w:val="center"/>
      </w:pPr>
      <w:r>
        <w:rPr>
          <w:rFonts w:ascii="Arial" w:cs="Arial" w:eastAsia="Arial" w:hAnsi="Arial"/>
          <w:b/>
          <w:bCs/>
          <w:color w:val="0D9488"/>
          <w:spacing w:val="150"/>
          <w:sz w:val="72"/>
          <w:szCs w:val="72"/>
        </w:rPr>
        <w:t xml:space="preserve">ARDIA HEALTH</w:t>
      </w:r>
    </w:p>
    <w:p>
      <w:pPr>
        <w:spacing w:before="0" w:after="40"/>
        <w:jc w:val="center"/>
      </w:pPr>
      <w:r>
        <w:rPr>
          <w:rFonts w:ascii="Arial" w:cs="Arial" w:eastAsia="Arial" w:hAnsi="Arial"/>
          <w:b w:val="false"/>
          <w:bCs w:val="false"/>
          <w:color w:val="0A1628"/>
          <w:spacing w:val="80"/>
          <w:sz w:val="28"/>
          <w:szCs w:val="28"/>
        </w:rPr>
        <w:t xml:space="preserve">WHITE PAPER &amp; BUSINESS PLAN</w:t>
      </w:r>
    </w:p>
    <w:p>
      <w:pPr>
        <w:pBdr>
          <w:bottom w:val="single" w:color="0D9488" w:sz="6" w:space="8"/>
        </w:pBdr>
        <w:spacing w:before="0" w:after="280"/>
        <w:jc w:val="center"/>
      </w:pPr>
      <w:r>
        <w:rPr>
          <w:rFonts w:ascii="Arial" w:cs="Arial" w:eastAsia="Arial" w:hAnsi="Arial"/>
          <w:i/>
          <w:iCs/>
          <w:color w:val="475569"/>
          <w:sz w:val="22"/>
          <w:szCs w:val="22"/>
        </w:rPr>
        <w:t xml:space="preserve">March 2026 — Series Seed</w:t>
      </w:r>
    </w:p>
    <w:p>
      <w:pPr>
        <w:spacing w:before="0" w:after="240"/>
      </w:pPr>
      <w:r>
        <w:rPr>
          <w:rFonts w:ascii="Arial" w:cs="Arial" w:eastAsia="Arial" w:hAnsi="Arial"/>
          <w:sz w:val="22"/>
          <w:szCs w:val="22"/>
        </w:rPr>
        <w:t xml:space="preserve"/>
      </w:r>
    </w:p>
    <w:p>
      <w:pPr>
        <w:spacing w:before="0" w:after="80"/>
        <w:jc w:val="center"/>
      </w:pPr>
      <w:r>
        <w:rPr>
          <w:rFonts w:ascii="Arial" w:cs="Arial" w:eastAsia="Arial" w:hAnsi="Arial"/>
          <w:b/>
          <w:bCs/>
          <w:color w:val="0A1628"/>
          <w:sz w:val="28"/>
          <w:szCs w:val="28"/>
        </w:rPr>
        <w:t xml:space="preserve">The First AI-Native Revenue Recovery Platform</w:t>
      </w:r>
    </w:p>
    <w:p>
      <w:pPr>
        <w:spacing w:before="0" w:after="80"/>
        <w:jc w:val="center"/>
      </w:pPr>
      <w:r>
        <w:rPr>
          <w:rFonts w:ascii="Arial" w:cs="Arial" w:eastAsia="Arial" w:hAnsi="Arial"/>
          <w:b w:val="false"/>
          <w:bCs w:val="false"/>
          <w:color w:val="475569"/>
          <w:sz w:val="24"/>
          <w:szCs w:val="24"/>
        </w:rPr>
        <w:t xml:space="preserve">Built Exclusively for Independent Clinical Laboratories</w:t>
      </w:r>
    </w:p>
    <w:p>
      <w:pPr>
        <w:spacing w:before="0" w:after="4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spacing w:before="0" w:after="80"/>
              <w:jc w:val="left"/>
            </w:pPr>
            <w:r>
              <w:rPr>
                <w:rFonts w:ascii="Arial" w:cs="Arial" w:eastAsia="Arial" w:hAnsi="Arial"/>
                <w:b/>
                <w:bCs/>
                <w:color w:val="94A3B8"/>
                <w:sz w:val="18"/>
                <w:szCs w:val="18"/>
              </w:rPr>
              <w:t xml:space="preserve">Company</w:t>
            </w:r>
          </w:p>
          <w:p>
            <w:pPr>
              <w:spacing w:before="0" w:after="80"/>
              <w:jc w:val="left"/>
            </w:pPr>
            <w:r>
              <w:rPr>
                <w:rFonts w:ascii="Arial" w:cs="Arial" w:eastAsia="Arial" w:hAnsi="Arial"/>
                <w:b/>
                <w:bCs/>
                <w:color w:val="FFFFFF"/>
                <w:sz w:val="22"/>
                <w:szCs w:val="22"/>
              </w:rPr>
              <w:t xml:space="preserve">Ardia Health</w:t>
            </w:r>
          </w:p>
          <w:p>
            <w:pPr>
              <w:spacing w:before="0" w:after="80"/>
              <w:jc w:val="left"/>
            </w:pPr>
            <w:r>
              <w:rPr>
                <w:rFonts w:ascii="Arial" w:cs="Arial" w:eastAsia="Arial" w:hAnsi="Arial"/>
                <w:b/>
                <w:bCs/>
                <w:color w:val="94A3B8"/>
                <w:sz w:val="18"/>
                <w:szCs w:val="18"/>
              </w:rPr>
              <w:t xml:space="preserve">Headquarters</w:t>
            </w:r>
          </w:p>
          <w:p>
            <w:pPr>
              <w:spacing w:before="0" w:after="80"/>
              <w:jc w:val="left"/>
            </w:pPr>
            <w:r>
              <w:rPr>
                <w:rFonts w:ascii="Arial" w:cs="Arial" w:eastAsia="Arial" w:hAnsi="Arial"/>
                <w:color w:val="FFFFFF"/>
                <w:sz w:val="22"/>
                <w:szCs w:val="22"/>
              </w:rPr>
              <w:t xml:space="preserve">Argyle (Flower Mound), TX 76226</w:t>
            </w:r>
          </w:p>
          <w:p>
            <w:pPr>
              <w:spacing w:before="0" w:after="80"/>
              <w:jc w:val="left"/>
            </w:pPr>
            <w:r>
              <w:rPr>
                <w:rFonts w:ascii="Arial" w:cs="Arial" w:eastAsia="Arial" w:hAnsi="Arial"/>
                <w:b/>
                <w:bCs/>
                <w:color w:val="94A3B8"/>
                <w:sz w:val="18"/>
                <w:szCs w:val="18"/>
              </w:rPr>
              <w:t xml:space="preserve">Founded</w:t>
            </w:r>
          </w:p>
          <w:p>
            <w:pPr>
              <w:spacing w:before="0" w:after="0"/>
              <w:jc w:val="left"/>
            </w:pPr>
            <w:r>
              <w:rPr>
                <w:rFonts w:ascii="Arial" w:cs="Arial" w:eastAsia="Arial" w:hAnsi="Arial"/>
                <w:color w:val="FFFFFF"/>
                <w:sz w:val="22"/>
                <w:szCs w:val="22"/>
              </w:rPr>
              <w:t xml:space="preserve">January 2026</w:t>
            </w:r>
          </w:p>
        </w:tc>
        <w:tc>
          <w:tcPr>
            <w:tcW w:type="dxa" w:w="4680"/>
            <w:tcBorders>
              <w:top w:val="none" w:color="FFFFFF" w:sz="0"/>
              <w:left w:val="none" w:color="FFFFFF" w:sz="0"/>
              <w:bottom w:val="none" w:color="FFFFFF" w:sz="0"/>
              <w:right w:val="none" w:color="FFFFFF" w:sz="0"/>
            </w:tcBorders>
            <w:shd w:fill="0D9488" w:val="clear"/>
            <w:tcMar>
              <w:top w:type="dxa" w:w="200"/>
              <w:left w:type="dxa" w:w="360"/>
              <w:bottom w:type="dxa" w:w="200"/>
              <w:right w:type="dxa" w:w="360"/>
            </w:tcMar>
          </w:tcPr>
          <w:p>
            <w:pPr>
              <w:spacing w:before="0" w:after="80"/>
              <w:jc w:val="left"/>
            </w:pPr>
            <w:r>
              <w:rPr>
                <w:rFonts w:ascii="Arial" w:cs="Arial" w:eastAsia="Arial" w:hAnsi="Arial"/>
                <w:b/>
                <w:bCs/>
                <w:color w:val="CCFBF1"/>
                <w:sz w:val="18"/>
                <w:szCs w:val="18"/>
              </w:rPr>
              <w:t xml:space="preserve">Round</w:t>
            </w:r>
          </w:p>
          <w:p>
            <w:pPr>
              <w:spacing w:before="0" w:after="80"/>
              <w:jc w:val="left"/>
            </w:pPr>
            <w:r>
              <w:rPr>
                <w:rFonts w:ascii="Arial" w:cs="Arial" w:eastAsia="Arial" w:hAnsi="Arial"/>
                <w:b/>
                <w:bCs/>
                <w:color w:val="FFFFFF"/>
                <w:sz w:val="22"/>
                <w:szCs w:val="22"/>
              </w:rPr>
              <w:t xml:space="preserve">$3.5M Seed (SAFE)</w:t>
            </w:r>
          </w:p>
          <w:p>
            <w:pPr>
              <w:spacing w:before="0" w:after="80"/>
              <w:jc w:val="left"/>
            </w:pPr>
            <w:r>
              <w:rPr>
                <w:rFonts w:ascii="Arial" w:cs="Arial" w:eastAsia="Arial" w:hAnsi="Arial"/>
                <w:b/>
                <w:bCs/>
                <w:color w:val="CCFBF1"/>
                <w:sz w:val="18"/>
                <w:szCs w:val="18"/>
              </w:rPr>
              <w:t xml:space="preserve">Valuation Cap</w:t>
            </w:r>
          </w:p>
          <w:p>
            <w:pPr>
              <w:spacing w:before="0" w:after="80"/>
              <w:jc w:val="left"/>
            </w:pPr>
            <w:r>
              <w:rPr>
                <w:rFonts w:ascii="Arial" w:cs="Arial" w:eastAsia="Arial" w:hAnsi="Arial"/>
                <w:color w:val="FFFFFF"/>
                <w:sz w:val="22"/>
                <w:szCs w:val="22"/>
              </w:rPr>
              <w:t xml:space="preserve">$18M Post-Money</w:t>
            </w:r>
          </w:p>
          <w:p>
            <w:pPr>
              <w:spacing w:before="0" w:after="80"/>
              <w:jc w:val="left"/>
            </w:pPr>
            <w:r>
              <w:rPr>
                <w:rFonts w:ascii="Arial" w:cs="Arial" w:eastAsia="Arial" w:hAnsi="Arial"/>
                <w:b/>
                <w:bCs/>
                <w:color w:val="CCFBF1"/>
                <w:sz w:val="18"/>
                <w:szCs w:val="18"/>
              </w:rPr>
              <w:t xml:space="preserve">Contact</w:t>
            </w:r>
          </w:p>
          <w:p>
            <w:pPr>
              <w:spacing w:before="0" w:after="0"/>
              <w:jc w:val="left"/>
            </w:pPr>
            <w:r>
              <w:rPr>
                <w:rFonts w:ascii="Arial" w:cs="Arial" w:eastAsia="Arial" w:hAnsi="Arial"/>
                <w:color w:val="FFFFFF"/>
                <w:sz w:val="22"/>
                <w:szCs w:val="22"/>
              </w:rPr>
              <w:t xml:space="preserve">founders@ardiahealthlabs.com</w:t>
            </w:r>
          </w:p>
        </w:tc>
      </w:tr>
    </w:tbl>
    <w:p>
      <w:pPr>
        <w:spacing w:before="0" w:after="240"/>
      </w:pPr>
      <w:r>
        <w:rPr>
          <w:rFonts w:ascii="Arial" w:cs="Arial" w:eastAsia="Arial" w:hAnsi="Arial"/>
          <w:sz w:val="22"/>
          <w:szCs w:val="22"/>
        </w:rPr>
        <w:t xml:space="preserve"/>
      </w:r>
    </w:p>
    <w:p>
      <w:pPr>
        <w:spacing w:before="80" w:after="0"/>
        <w:jc w:val="center"/>
      </w:pPr>
      <w:r>
        <w:rPr>
          <w:rFonts w:ascii="Arial" w:cs="Arial" w:eastAsia="Arial" w:hAnsi="Arial"/>
          <w:i/>
          <w:iCs/>
          <w:color w:val="475569"/>
          <w:sz w:val="17"/>
          <w:szCs w:val="17"/>
        </w:rPr>
        <w:t xml:space="preserve">This document contains confidential and proprietary information. Distribution is restricted to accredited investors.</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Executive Summary</w:t>
      </w:r>
    </w:p>
    <w:p>
      <w:pPr>
        <w:spacing w:before="80" w:after="120" w:line="360" w:lineRule="auto"/>
        <w:jc w:val="both"/>
      </w:pPr>
      <w:r>
        <w:rPr>
          <w:rFonts w:ascii="Arial" w:cs="Arial" w:eastAsia="Arial" w:hAnsi="Arial"/>
          <w:b w:val="false"/>
          <w:bCs w:val="false"/>
          <w:i w:val="false"/>
          <w:iCs w:val="false"/>
          <w:color w:val="1E293B"/>
          <w:sz w:val="22"/>
          <w:szCs w:val="22"/>
        </w:rPr>
        <w:t xml:space="preserve">Ardia Health is building the first AI-native revenue recovery platform designed exclusively for the United States' independent clinical laboratory market. While hospital-focused revenue cycle management (RCM) has seen dramatic AI investment — with players like Waystar commanding a $3.5 billion IPO valuation in 2024 and R1 RCM acquired for $8.9 billion — the 7,000+ independent labs that generate approximately 32% of U.S. diagnostic test volume have been entirely ignored by the AI RCM wave. This represents a structural white space that Ardia is purpose-built to capture.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problem is acute and worsening. Independent labs face denial rates of 13.6% to 27% across their testing categories — with molecular diagnostics registering the industry's highest denial rate at 27%. Yet 65% of denied claims are never appealed despite 50–83% appeal win rates when pursued. This translates to an estimated $10–12 billion in annual lab revenue that goes permanently uncollected. Simultaneously, PAMA 2027 Medicare rate cuts (up to 15% per year for three consecutive years, effective January 1, 2027) threaten to accelerate the financial distress that is already causing over 50% of independent labs to consider selling or merging.</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Ardia's clinical intelligence engine applies a proprietary Neuro-Symbolic Sandwich Architecture — combining large language model clinical reasoning, a 847-rule symbolic engine covering every LCD and NCD policy, and a machine learning outcome predictor trained on denial patterns — to generate evidence-backed appeal briefs in under 90 seconds. The platform processes EDI 835/837 data via FHIR R4 and HL7 integrations, retrieves evidence from 14 medical databases in 340 milliseconds, and maintains a complete audit trail compliant with Texas SB 1188 and TRAIGA (HB 149), the two landmark AI-in-healthcare laws enacted in Texas in 2025–2026.</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business model is frictionless for labs: Ardia charges a 15% success fee only on recovered revenue, with zero upfront cost. This alignment of incentives eliminates procurement friction and enables product-led growth. The company is headquartered in the Dallas-Fort Worth metro — the nation's most strategically positioned healthcare AI beachhead, home to two nationally elite ACOs (Baylor Scott &amp; White Quality Alliance with $107.6M in MSSP savings and Southwestern Health Resources ranked #1 nationally for three consecutive years), 7+ independent labs, and 40+ behavioral health organizations.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$3.5M Seed raise </w:t>
            </w:r>
            <w:r>
              <w:rPr>
                <w:rFonts w:ascii="Arial" w:cs="Arial" w:eastAsia="Arial" w:hAnsi="Arial"/>
                <w:color w:val="475569"/>
                <w:sz w:val="22"/>
                <w:szCs w:val="22"/>
              </w:rPr>
              <w:t xml:space="preserve">on a $18M post-money SAFE, targeting 18 months of runway</w:t>
            </w:r>
          </w:p>
          <w:p>
            <w:pPr>
              <w:spacing w:before="60" w:after="60"/>
            </w:pPr>
            <w:r>
              <w:rPr>
                <w:rFonts w:ascii="Arial" w:cs="Arial" w:eastAsia="Arial" w:hAnsi="Arial"/>
                <w:b/>
                <w:bCs/>
                <w:color w:val="0A1628"/>
                <w:sz w:val="22"/>
                <w:szCs w:val="22"/>
              </w:rPr>
              <w:t xml:space="preserve">Milestone unlocked: </w:t>
            </w:r>
            <w:r>
              <w:rPr>
                <w:rFonts w:ascii="Arial" w:cs="Arial" w:eastAsia="Arial" w:hAnsi="Arial"/>
                <w:color w:val="475569"/>
                <w:sz w:val="22"/>
                <w:szCs w:val="22"/>
              </w:rPr>
              <w:t xml:space="preserve">MVP launch → 2 paid pilots → $600K ARR → Series A preparation</w:t>
            </w:r>
          </w:p>
          <w:p>
            <w:pPr>
              <w:spacing w:before="60" w:after="60"/>
            </w:pPr>
            <w:r>
              <w:rPr>
                <w:rFonts w:ascii="Arial" w:cs="Arial" w:eastAsia="Arial" w:hAnsi="Arial"/>
                <w:b/>
                <w:bCs/>
                <w:color w:val="0A1628"/>
                <w:sz w:val="22"/>
                <w:szCs w:val="22"/>
              </w:rPr>
              <w:t xml:space="preserve">5-year ARR target: </w:t>
            </w:r>
            <w:r>
              <w:rPr>
                <w:rFonts w:ascii="Arial" w:cs="Arial" w:eastAsia="Arial" w:hAnsi="Arial"/>
                <w:color w:val="475569"/>
                <w:sz w:val="22"/>
                <w:szCs w:val="22"/>
              </w:rPr>
              <w:t xml:space="preserve">$51M with 340 paying labs, 80% gross margins, 44% EBITDA margins</w:t>
            </w:r>
          </w:p>
          <w:p>
            <w:pPr>
              <w:spacing w:before="60" w:after="60"/>
            </w:pPr>
            <w:r>
              <w:rPr>
                <w:rFonts w:ascii="Arial" w:cs="Arial" w:eastAsia="Arial" w:hAnsi="Arial"/>
                <w:b/>
                <w:bCs/>
                <w:color w:val="0A1628"/>
                <w:sz w:val="22"/>
                <w:szCs w:val="22"/>
              </w:rPr>
              <w:t xml:space="preserve">Contact: </w:t>
            </w:r>
            <w:r>
              <w:rPr>
                <w:rFonts w:ascii="Arial" w:cs="Arial" w:eastAsia="Arial" w:hAnsi="Arial"/>
                <w:color w:val="475569"/>
                <w:sz w:val="22"/>
                <w:szCs w:val="22"/>
              </w:rPr>
              <w:t xml:space="preserve">founders@ardiahealthlabs.com  |  ardiahealthlabs.com</w:t>
            </w:r>
          </w:p>
        </w:tc>
      </w:tr>
    </w:tbl>
    <w:p>
      <w:r>
        <w:br w:type="page"/>
      </w:r>
    </w:p>
    <w:p>
      <w:pPr>
        <w:pBdr>
          <w:top w:val="single" w:color="FFFFFF" w:sz="0"/>
          <w:bottom w:val="single" w:color="FFFFFF" w:sz="0"/>
        </w:pBdr>
        <w:shd w:fill="0A1628" w:val="clear"/>
        <w:spacing w:before="0" w:after="80"/>
        <w:jc w:val="center"/>
      </w:pPr>
      <w:r>
        <w:rPr>
          <w:rFonts w:ascii="Arial" w:cs="Arial" w:eastAsia="Arial" w:hAnsi="Arial"/>
          <w:b/>
          <w:bCs/>
          <w:color w:val="FFFFFF"/>
          <w:spacing w:val="100"/>
          <w:sz w:val="32"/>
          <w:szCs w:val="32"/>
        </w:rPr>
        <w:t xml:space="preserve">PART I — WHITE PAPER</w:t>
      </w:r>
    </w:p>
    <w:p>
      <w:pPr>
        <w:shd w:fill="0A1628" w:val="clear"/>
        <w:spacing w:before="0" w:after="0"/>
        <w:jc w:val="center"/>
      </w:pPr>
      <w:r>
        <w:rPr>
          <w:rFonts w:ascii="Arial" w:cs="Arial" w:eastAsia="Arial" w:hAnsi="Arial"/>
          <w:i/>
          <w:iCs/>
          <w:color w:val="94A3B8"/>
          <w:sz w:val="24"/>
          <w:szCs w:val="24"/>
        </w:rPr>
        <w:t xml:space="preserve">The $12 Billion Problem: Why Independent Clinical Labs Are Bleeding Revenue and How AI Can Stop It</w:t>
      </w:r>
    </w:p>
    <w:p>
      <w:pPr>
        <w:spacing w:before="0" w:after="240"/>
      </w:pPr>
      <w:r>
        <w:rPr>
          <w:rFonts w:ascii="Arial" w:cs="Arial" w:eastAsia="Arial" w:hAnsi="Arial"/>
          <w:sz w:val="22"/>
          <w:szCs w:val="22"/>
        </w:rPr>
        <w:t xml:space="preserve"/>
      </w:r>
    </w:p>
    <w:p>
      <w:pPr>
        <w:pStyle w:val="Heading1"/>
        <w:pBdr>
          <w:bottom w:val="single" w:color="0D9488" w:sz="8" w:space="4"/>
        </w:pBdr>
        <w:spacing w:before="480" w:after="160"/>
      </w:pPr>
      <w:r>
        <w:rPr>
          <w:rFonts w:ascii="Arial" w:cs="Arial" w:eastAsia="Arial" w:hAnsi="Arial"/>
          <w:b/>
          <w:bCs/>
          <w:color w:val="0A1628"/>
          <w:sz w:val="36"/>
          <w:szCs w:val="36"/>
        </w:rPr>
        <w:t xml:space="preserve">1. The Crisis Facing Independent Clinical Laboratories</w:t>
      </w:r>
    </w:p>
    <w:p>
      <w:pPr>
        <w:pStyle w:val="Heading2"/>
        <w:spacing w:before="320" w:after="120"/>
      </w:pPr>
      <w:r>
        <w:rPr>
          <w:rFonts w:ascii="Arial" w:cs="Arial" w:eastAsia="Arial" w:hAnsi="Arial"/>
          <w:b/>
          <w:bCs/>
          <w:color w:val="0D9488"/>
          <w:sz w:val="28"/>
          <w:szCs w:val="28"/>
        </w:rPr>
        <w:t xml:space="preserve">1.1 The Scale of the Denial Problem</w:t>
      </w:r>
    </w:p>
    <w:p>
      <w:pPr>
        <w:spacing w:before="80" w:after="120" w:line="360" w:lineRule="auto"/>
        <w:jc w:val="both"/>
      </w:pPr>
      <w:r>
        <w:rPr>
          <w:rFonts w:ascii="Arial" w:cs="Arial" w:eastAsia="Arial" w:hAnsi="Arial"/>
          <w:b w:val="false"/>
          <w:bCs w:val="false"/>
          <w:i w:val="false"/>
          <w:iCs w:val="false"/>
          <w:color w:val="1E293B"/>
          <w:sz w:val="22"/>
          <w:szCs w:val="22"/>
        </w:rPr>
        <w:t xml:space="preserve">The United States clinical laboratory industry processes over 13 billion tests annually across a $96–100 billion market. Independent and physician-office laboratories — the 7,000+ CLIA-certified facilities that are not part of national chains like Quest Diagnostics or Laboratory Corporation of America — account for approximately 32% of this volume, serving rural communities, specialty practices, addiction medicine clinics, and behavioral health organizations that the large reference labs underserve.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Despite their indispensable role in the healthcare system, independent labs face a billing and reimbursement crisis that is systematically destroying their financial viability. Claim denial rates across the independent lab sector average 13.6% industry-wide, but specialty testing categories face dramatically higher rates: molecular diagnostics registers a 27% denial rate — the highest of any category in healthcare — while toxicology labs serving addiction medicine programs face denial rates of 15–22% due to documentation gaps in medical necessity and treatment plan linkage.</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27%</w:t>
            </w:r>
          </w:p>
          <w:p>
            <w:pPr>
              <w:spacing w:before="0" w:after="0"/>
              <w:jc w:val="center"/>
            </w:pPr>
            <w:r>
              <w:rPr>
                <w:rFonts w:ascii="Arial" w:cs="Arial" w:eastAsia="Arial" w:hAnsi="Arial"/>
                <w:color w:val="475569"/>
                <w:sz w:val="18"/>
                <w:szCs w:val="18"/>
              </w:rPr>
              <w:t xml:space="preserve">Molecular Dx denial rate</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97706"/>
                <w:sz w:val="48"/>
                <w:szCs w:val="48"/>
              </w:rPr>
              <w:t xml:space="preserve">65%</w:t>
            </w:r>
          </w:p>
          <w:p>
            <w:pPr>
              <w:spacing w:before="0" w:after="0"/>
              <w:jc w:val="center"/>
            </w:pPr>
            <w:r>
              <w:rPr>
                <w:rFonts w:ascii="Arial" w:cs="Arial" w:eastAsia="Arial" w:hAnsi="Arial"/>
                <w:color w:val="475569"/>
                <w:sz w:val="18"/>
                <w:szCs w:val="18"/>
              </w:rPr>
              <w:t xml:space="preserve">Denials never appealed</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$12B</w:t>
            </w:r>
          </w:p>
          <w:p>
            <w:pPr>
              <w:spacing w:before="0" w:after="0"/>
              <w:jc w:val="center"/>
            </w:pPr>
            <w:r>
              <w:rPr>
                <w:rFonts w:ascii="Arial" w:cs="Arial" w:eastAsia="Arial" w:hAnsi="Arial"/>
                <w:color w:val="475569"/>
                <w:sz w:val="18"/>
                <w:szCs w:val="18"/>
              </w:rPr>
              <w:t xml:space="preserve">Lost annually</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83%</w:t>
            </w:r>
          </w:p>
          <w:p>
            <w:pPr>
              <w:spacing w:before="0" w:after="0"/>
              <w:jc w:val="center"/>
            </w:pPr>
            <w:r>
              <w:rPr>
                <w:rFonts w:ascii="Arial" w:cs="Arial" w:eastAsia="Arial" w:hAnsi="Arial"/>
                <w:color w:val="475569"/>
                <w:sz w:val="18"/>
                <w:szCs w:val="18"/>
              </w:rPr>
              <w:t xml:space="preserve">Appeal win rate</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downstream consequences of this denial rate are compounded by lab staff behavior: industry data from the Healthcare Financial Management Association and LigoLab's 2024 revenue cycle benchmarking report reveal that 65% of denied lab claims are never appealed. This is not a strategic decision — it is a capacity problem. Manual denial rework costs labs $25 to $181 per claim and requires an average of two or more hours of staff time per appeal, making the economics of pursuing low-value denials negative when staff bandwidth is already stretched by the nationwide medical technologist shortage.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When labs do appeal, they win 50–80.7% of the time. This gap between the recoverable revenue and the revenue actually recovered represents the core market opportunity for Ardia Health: converting a structurally abandoned revenue stream into a systematic, AI-automated recovery process.</w:t>
      </w:r>
    </w:p>
    <w:p>
      <w:pPr>
        <w:pStyle w:val="Heading2"/>
        <w:spacing w:before="320" w:after="120"/>
      </w:pPr>
      <w:r>
        <w:rPr>
          <w:rFonts w:ascii="Arial" w:cs="Arial" w:eastAsia="Arial" w:hAnsi="Arial"/>
          <w:b/>
          <w:bCs/>
          <w:color w:val="0D9488"/>
          <w:sz w:val="28"/>
          <w:szCs w:val="28"/>
        </w:rPr>
        <w:t xml:space="preserve">1.2 PAMA 2027: The Coming Cliff</w:t>
      </w:r>
    </w:p>
    <w:p>
      <w:pPr>
        <w:spacing w:before="80" w:after="120" w:line="360" w:lineRule="auto"/>
        <w:jc w:val="both"/>
      </w:pPr>
      <w:r>
        <w:rPr>
          <w:rFonts w:ascii="Arial" w:cs="Arial" w:eastAsia="Arial" w:hAnsi="Arial"/>
          <w:b w:val="false"/>
          <w:bCs w:val="false"/>
          <w:i w:val="false"/>
          <w:iCs w:val="false"/>
          <w:color w:val="1E293B"/>
          <w:sz w:val="22"/>
          <w:szCs w:val="22"/>
        </w:rPr>
        <w:t xml:space="preserve">The Protecting Access to Medicare Act (PAMA) of 2014 established a market-based pricing system for clinical laboratory fee schedule rates. After seven consecutive congressional delays (the most recent of which preserved a moratorium through December 31, 2026), PAMA-mandated cuts are scheduled to resume on January 1, 2027, with cuts of up to 15% per year for three consecutive years — potentially reducing Medicare reimbursement rates for affected lab tests by up to 45% cumulatively by 2029.</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Saving Access to Laboratory Services Act (SALSA) and the RESULTS Act, which would provide long-term relief, remain unpassed as of the date of this document. Industry surveys conducted by the American Clinical Laboratory Association in 2024 found that 50% or more of independent lab operators reported they would consider selling or merging their operations if PAMA cuts take full effect. This creates both urgency and opportunity: labs facing margin compression from reimbursement rate cuts need every claimable dollar, making denial recovery AI economically compelling in a way it was not when rates were stable.</w:t>
      </w:r>
    </w:p>
    <w:p>
      <w:pPr>
        <w:pStyle w:val="Heading2"/>
        <w:spacing w:before="320" w:after="120"/>
      </w:pPr>
      <w:r>
        <w:rPr>
          <w:rFonts w:ascii="Arial" w:cs="Arial" w:eastAsia="Arial" w:hAnsi="Arial"/>
          <w:b/>
          <w:bCs/>
          <w:color w:val="0D9488"/>
          <w:sz w:val="28"/>
          <w:szCs w:val="28"/>
        </w:rPr>
        <w:t xml:space="preserve">1.3 The Battle of AI Bots: Payer vs. Provider</w:t>
      </w:r>
    </w:p>
    <w:p>
      <w:pPr>
        <w:spacing w:before="80" w:after="120" w:line="360" w:lineRule="auto"/>
        <w:jc w:val="both"/>
      </w:pPr>
      <w:r>
        <w:rPr>
          <w:rFonts w:ascii="Arial" w:cs="Arial" w:eastAsia="Arial" w:hAnsi="Arial"/>
          <w:b w:val="false"/>
          <w:bCs w:val="false"/>
          <w:i w:val="false"/>
          <w:iCs w:val="false"/>
          <w:color w:val="1E293B"/>
          <w:sz w:val="22"/>
          <w:szCs w:val="22"/>
        </w:rPr>
        <w:t xml:space="preserve">Perhaps the most significant structural shift in clinical lab reimbursement is the rapid deployment of AI-powered denial engines by commercial payers. Between 2022 and 2025, full AI adoption by insurance companies for claim processing grew from 8% to 34% according to industry tracking data. Payer AI systems — such as UnitedHealth Group's NaviHealth algorithms and Cigna's eviCore platform — are trained specifically to identify documentation deficiencies, coding inconsistencies, and medical necessity gaps that support denial.</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asymmetry is stark: payers have deployed sophisticated AI to deny claims faster and with less human review, while providers — particularly independent labs — are still using manual processes and rules-based billing software designed in the pre-AI era. Only 14% of providers have deployed AI tools to reduce denials, yet 69% of those that have report measurable improvement in denial rates. The inevitable conclusion is that AI-powered denial recovery is not a luxury but a necessity for labs that wish to survive in an environment where their reimbursement adversary has already gone AI-native.</w:t>
      </w:r>
    </w:p>
    <w:p>
      <w:pPr>
        <w:pStyle w:val="Heading2"/>
        <w:spacing w:before="320" w:after="120"/>
      </w:pPr>
      <w:r>
        <w:rPr>
          <w:rFonts w:ascii="Arial" w:cs="Arial" w:eastAsia="Arial" w:hAnsi="Arial"/>
          <w:b/>
          <w:bCs/>
          <w:color w:val="0D9488"/>
          <w:sz w:val="28"/>
          <w:szCs w:val="28"/>
        </w:rPr>
        <w:t xml:space="preserve">1.4 The Regulatory Landscape Creates a First-Mover Advantage</w:t>
      </w:r>
    </w:p>
    <w:p>
      <w:pPr>
        <w:pStyle w:val="Heading3"/>
        <w:spacing w:before="240" w:after="80"/>
      </w:pPr>
      <w:r>
        <w:rPr>
          <w:rFonts w:ascii="Arial" w:cs="Arial" w:eastAsia="Arial" w:hAnsi="Arial"/>
          <w:b/>
          <w:bCs/>
          <w:color w:val="0A1628"/>
          <w:sz w:val="24"/>
          <w:szCs w:val="24"/>
        </w:rPr>
        <w:t xml:space="preserve">Texas Senate Bill 1188 (Effective September 1, 2025)</w:t>
      </w:r>
    </w:p>
    <w:p>
      <w:pPr>
        <w:spacing w:before="80" w:after="120" w:line="360" w:lineRule="auto"/>
        <w:jc w:val="both"/>
      </w:pPr>
      <w:r>
        <w:rPr>
          <w:rFonts w:ascii="Arial" w:cs="Arial" w:eastAsia="Arial" w:hAnsi="Arial"/>
          <w:b w:val="false"/>
          <w:bCs w:val="false"/>
          <w:i w:val="false"/>
          <w:iCs w:val="false"/>
          <w:color w:val="1E293B"/>
          <w:sz w:val="22"/>
          <w:szCs w:val="22"/>
        </w:rPr>
        <w:t xml:space="preserve">Texas enacted SB 1188 to regulate the use of artificial intelligence in healthcare settings, with direct implications for clinical AI platforms. The law requires that healthcare practitioners personally review all AI-generated content before making clinical or administrative decisions. It mandates patient disclosure when AI is used for diagnostic purposes, requires that electronic health records of Texas residents be stored exclusively on United States-based infrastructure (effective January 1, 2026), and imposes penalties ranging from $5,000 to $250,000 per intentional violation, plus the potential for license suspension or revocation.</w:t>
      </w:r>
    </w:p>
    <w:p>
      <w:pPr>
        <w:pStyle w:val="Heading3"/>
        <w:spacing w:before="240" w:after="80"/>
      </w:pPr>
      <w:r>
        <w:rPr>
          <w:rFonts w:ascii="Arial" w:cs="Arial" w:eastAsia="Arial" w:hAnsi="Arial"/>
          <w:b/>
          <w:bCs/>
          <w:color w:val="0A1628"/>
          <w:sz w:val="24"/>
          <w:szCs w:val="24"/>
        </w:rPr>
        <w:t xml:space="preserve">Texas TRAIGA — Responsible Artificial Intelligence Governance Act (HB 149, Effective January 1, 2026)</w:t>
      </w:r>
    </w:p>
    <w:p>
      <w:pPr>
        <w:spacing w:before="80" w:after="120" w:line="360" w:lineRule="auto"/>
        <w:jc w:val="both"/>
      </w:pPr>
      <w:r>
        <w:rPr>
          <w:rFonts w:ascii="Arial" w:cs="Arial" w:eastAsia="Arial" w:hAnsi="Arial"/>
          <w:b w:val="false"/>
          <w:bCs w:val="false"/>
          <w:i w:val="false"/>
          <w:iCs w:val="false"/>
          <w:color w:val="1E293B"/>
          <w:sz w:val="22"/>
          <w:szCs w:val="22"/>
        </w:rPr>
        <w:t xml:space="preserve">TRAIGA makes Texas the third state with comprehensive AI legislation, following Colorado and Utah. Unlike Colorado's SB 205, which imposes strict intent-agnostic liability, TRAIGA uses an intent-based liability framework that is more favorable to startup innovation. Key provisions include healthcare-specific AI disclosure obligations, a prohibition on AI for behavioral manipulation (critical for behavioral health deployments), a prohibition on intentional AI discrimination, and a 36-month regulatory sandbox that allows AI companies to test innovations without standard state licensing requirements.</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Critically, TRAIGA provides a safe harbor for organizations that achieve substantial compliance with the NIST AI Risk Management Framework — a standard Ardia Health is building to from day one. TRAIGA also preempts all local AI ordinances, creating a single, uniform Texas compliance framework rather than a patchwork of municipal regulations.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Compliance as competitive moat: </w:t>
            </w:r>
            <w:r>
              <w:rPr>
                <w:rFonts w:ascii="Arial" w:cs="Arial" w:eastAsia="Arial" w:hAnsi="Arial"/>
                <w:color w:val="475569"/>
                <w:sz w:val="22"/>
                <w:szCs w:val="22"/>
              </w:rPr>
              <w:t xml:space="preserve">Companies that build SB 1188 and TRAIGA compliance natively — human-in-loop review, US data residency, audit trails, patient disclosure — create structural barriers that late entrants must pay to retrofit. Ardia builds these as core product capabilities, not afterthoughts.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0D9488"/>
          <w:sz w:val="28"/>
          <w:szCs w:val="28"/>
        </w:rPr>
        <w:t xml:space="preserve">1.5 The Precision Medicine Reimbursement Crisis</w:t>
      </w:r>
    </w:p>
    <w:p>
      <w:pPr>
        <w:spacing w:before="80" w:after="120" w:line="360" w:lineRule="auto"/>
        <w:jc w:val="both"/>
      </w:pPr>
      <w:r>
        <w:rPr>
          <w:rFonts w:ascii="Arial" w:cs="Arial" w:eastAsia="Arial" w:hAnsi="Arial"/>
          <w:b w:val="false"/>
          <w:bCs w:val="false"/>
          <w:i w:val="false"/>
          <w:iCs w:val="false"/>
          <w:color w:val="1E293B"/>
          <w:sz w:val="22"/>
          <w:szCs w:val="22"/>
        </w:rPr>
        <w:t xml:space="preserve">Independent clinical laboratories are at the epicenter of one of healthcare's most consequential billing crises: the collision between rapidly expanding precision medicine test volumes and a reimbursement infrastructure built for a simpler era. The global precision medicine market stands at approximately $100–120 billion in 2025 and is projected to reach $210–250 billion by 2030 (11–16% CAGR). The pharmacogenomics (PGx) sub-market — representing drug-gene interaction testing — is valued at $6–10 billion globally, growing at 8–14% CAGR, with next-generation sequencing at $14 billion (14.6% CAGR) and companion diagnostics at $7.5–9.1 billion (10.5–12.6% CAGR).</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reimbursement failure rate for these tests is extraordinary. According to XiFin's 2024 Payor Denial Impact Report — analyzing over 20 million claims — molecular diagnostic CPT codes are denied at a rate of 35.3%, compared to 19.3% for standard clinical lab claims and an 11.8% overall healthcare average. This makes molecular diagnostics the highest-denial testing category in all of healthcare. For pharmacogenomics specifically, a 2023 peer-reviewed study in Frontiers in Pharmacology found that only 46% of PGx claims are reimbursed — meaning more than half of all PGx testing revenue is at structural risk.</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35.3%</w:t>
            </w:r>
          </w:p>
          <w:p>
            <w:pPr>
              <w:spacing w:before="0" w:after="0"/>
              <w:jc w:val="center"/>
            </w:pPr>
            <w:r>
              <w:rPr>
                <w:rFonts w:ascii="Arial" w:cs="Arial" w:eastAsia="Arial" w:hAnsi="Arial"/>
                <w:color w:val="475569"/>
                <w:sz w:val="18"/>
                <w:szCs w:val="18"/>
              </w:rPr>
              <w:t xml:space="preserve">Molecular Dx denial rate</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97706"/>
                <w:sz w:val="48"/>
                <w:szCs w:val="48"/>
              </w:rPr>
              <w:t xml:space="preserve">46%</w:t>
            </w:r>
          </w:p>
          <w:p>
            <w:pPr>
              <w:spacing w:before="0" w:after="0"/>
              <w:jc w:val="center"/>
            </w:pPr>
            <w:r>
              <w:rPr>
                <w:rFonts w:ascii="Arial" w:cs="Arial" w:eastAsia="Arial" w:hAnsi="Arial"/>
                <w:color w:val="475569"/>
                <w:sz w:val="18"/>
                <w:szCs w:val="18"/>
              </w:rPr>
              <w:t xml:space="preserve">PGx claims reimbursed</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2.76×</w:t>
            </w:r>
          </w:p>
          <w:p>
            <w:pPr>
              <w:spacing w:before="0" w:after="0"/>
              <w:jc w:val="center"/>
            </w:pPr>
            <w:r>
              <w:rPr>
                <w:rFonts w:ascii="Arial" w:cs="Arial" w:eastAsia="Arial" w:hAnsi="Arial"/>
                <w:color w:val="475569"/>
                <w:sz w:val="18"/>
                <w:szCs w:val="18"/>
              </w:rPr>
              <w:t xml:space="preserve">Higher denial odds: independent vs. hospital lab</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$3,800</w:t>
            </w:r>
          </w:p>
          <w:p>
            <w:pPr>
              <w:spacing w:before="0" w:after="0"/>
              <w:jc w:val="center"/>
            </w:pPr>
            <w:r>
              <w:rPr>
                <w:rFonts w:ascii="Arial" w:cs="Arial" w:eastAsia="Arial" w:hAnsi="Arial"/>
                <w:color w:val="475569"/>
                <w:sz w:val="18"/>
                <w:szCs w:val="18"/>
              </w:rPr>
              <w:t xml:space="preserve">Median denied NGS claim value</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A rigorous cohort study published in JAMA Network Open in April 2025 (Georgetown University), analyzing 29,919 cancer-related NGS claims, found an overall Medicare NGS denial rate of 23.3% — rising from 16.8% pre-NCD to 27.4% after the 2020 NCD amendment, meaning denials actually increased as coverage theoretically expanded. Critically for Ardia's market thesis, the same study found that independent laboratories faced 2.76 times higher odds of denial compared to hospital-based labs (OR=2.76, p&lt;0.001), with the median denied NGS claim value at $3,800.</w:t>
      </w:r>
    </w:p>
    <w:p>
      <w:pPr>
        <w:pStyle w:val="Heading3"/>
        <w:spacing w:before="240" w:after="80"/>
      </w:pPr>
      <w:r>
        <w:rPr>
          <w:rFonts w:ascii="Arial" w:cs="Arial" w:eastAsia="Arial" w:hAnsi="Arial"/>
          <w:b/>
          <w:bCs/>
          <w:color w:val="0A1628"/>
          <w:sz w:val="24"/>
          <w:szCs w:val="24"/>
        </w:rPr>
        <w:t xml:space="preserve">The MolDx Compliance Burden</w:t>
      </w:r>
    </w:p>
    <w:p>
      <w:pPr>
        <w:spacing w:before="80" w:after="120" w:line="360" w:lineRule="auto"/>
        <w:jc w:val="both"/>
      </w:pPr>
      <w:r>
        <w:rPr>
          <w:rFonts w:ascii="Arial" w:cs="Arial" w:eastAsia="Arial" w:hAnsi="Arial"/>
          <w:b w:val="false"/>
          <w:bCs w:val="false"/>
          <w:i w:val="false"/>
          <w:iCs w:val="false"/>
          <w:color w:val="1E293B"/>
          <w:sz w:val="22"/>
          <w:szCs w:val="22"/>
        </w:rPr>
        <w:t xml:space="preserve">The Molecular Diagnostic Services (MolDx) Program, developed by Palmetto GBA in 2011, is the CMS-authorized framework governing coverage and reimbursement for molecular diagnostic tests. Four Medicare Administrative Contractors now participate — Palmetto GBA, Noridian Healthcare Solutions, CGS Administrators, and WPS Health Solutions — covering 28+ states including all of Texas. Every molecular test must undergo a Technical Assessment (TA) process taking 60–90 days before claims can be submitted, evaluating analytical validity, clinical validity, and clinical utility.</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DEX Z-Code system is the operational backbone. Every molecular diagnostic test must be registered in the DEX (Diagnostics Exchange) Registry and assigned a unique 5-character alphanumeric identifier on every claim. Z-codes have been mandatory in MolDx jurisdictions since June 2018, and the compliance requirement is now expanding to commercial payers nationally: UnitedHealthcare adopted DEX Z-code requirements in October 2023, Humana Medicare Advantage in September 2024, and MVP Health Care in February 2026. This means the MolDx compliance burden — already complex for independent labs — is multiplying across the entire payer landscape.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coding complexity is staggering: over 75,000 genetic tests exist on the market but map to fewer than 200 molecular pathology CPT codes (81400–81479 series, plus 0001U–0400U+ PLA codes). PLA codes now account for approximately 37% of all new CPT code additions. The 2026 CPT update included 270 new codes, 112 deletions, and 38 changes — a constantly shifting compliance target. Claims for 50+ gene panels are 1.32 times more likely to be denied, and over 29% of laboratory claims submitted to Medicare in 2023 contained coding errors.</w:t>
      </w:r>
    </w:p>
    <w:p>
      <w:pPr>
        <w:pStyle w:val="Heading3"/>
        <w:spacing w:before="240" w:after="80"/>
      </w:pPr>
      <w:r>
        <w:rPr>
          <w:rFonts w:ascii="Arial" w:cs="Arial" w:eastAsia="Arial" w:hAnsi="Arial"/>
          <w:b/>
          <w:bCs/>
          <w:color w:val="0A1628"/>
          <w:sz w:val="24"/>
          <w:szCs w:val="24"/>
        </w:rPr>
        <w:t xml:space="preserve">Texas SB 989: The Biomarker Testing Mandate Creates Opportunity and Complexity</w:t>
      </w:r>
    </w:p>
    <w:p>
      <w:pPr>
        <w:spacing w:before="80" w:after="120" w:line="360" w:lineRule="auto"/>
        <w:jc w:val="both"/>
      </w:pPr>
      <w:r>
        <w:rPr>
          <w:rFonts w:ascii="Arial" w:cs="Arial" w:eastAsia="Arial" w:hAnsi="Arial"/>
          <w:b w:val="false"/>
          <w:bCs w:val="false"/>
          <w:i w:val="false"/>
          <w:iCs w:val="false"/>
          <w:color w:val="1E293B"/>
          <w:sz w:val="22"/>
          <w:szCs w:val="22"/>
        </w:rPr>
        <w:t xml:space="preserve">Texas Senate Bill 989, signed May 29, 2023 and effective September 1, 2024 for Medicaid, mandates that all health benefit plan issuers — commercial insurers, HMOs, Texas Medicaid managed care, and state employee health plans — cover biomarker testing for diagnosis, treatment, management, or monitoring when supported by FDA labeling, NCDs, nationally recognized clinical practice guidelines, or consensus statements. CPT codes 81425, 81426, 81427, and 81443 are now reimbursable under Texas Medicaid with prior authorization. Texas joins 15+ states with biomarker testing mandates, with 12 of 15 including Medicaid coverage.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This legislative tailwind creates a two-sided dynamic for independent labs: test volumes and reimbursable indications are expanding, but the billing complexity — PA requirements, medical necessity documentation, coverage criteria navigation — is expanding proportionally. Every new covered biomarker test is a new denial risk if the lab's billing infrastructure cannot keep pace. This is precisely the gap Ardia's MolecuIQ module addresses.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DFW as precision medicine headquarters: </w:t>
            </w:r>
            <w:r>
              <w:rPr>
                <w:rFonts w:ascii="Arial" w:cs="Arial" w:eastAsia="Arial" w:hAnsi="Arial"/>
                <w:color w:val="475569"/>
                <w:sz w:val="22"/>
                <w:szCs w:val="22"/>
              </w:rPr>
              <w:t xml:space="preserve">Caris Life Sciences (Irving, TX) — valued at $7.83B with a May 2025 Nasdaq IPO filing and 740,000+ matched clinico-genomic records — validates that Dallas-Fort Worth is the precision medicine capital of Texas. UT Southwestern checks 300–600 genes per lung cancer patient via advanced NGS. Baylor Genetics (Houston) has processed 4 million+ tests. The Texas precision medicine ecosystem attracted $4.6 billion in private capital from 2018–2023, with $427 million in NIH funding in 2023 alone. Ardia is building in the right place at the right time.</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2. The Clinical AI Technology Landscape</w:t>
      </w:r>
    </w:p>
    <w:p>
      <w:pPr>
        <w:pStyle w:val="Heading2"/>
        <w:spacing w:before="320" w:after="120"/>
      </w:pPr>
      <w:r>
        <w:rPr>
          <w:rFonts w:ascii="Arial" w:cs="Arial" w:eastAsia="Arial" w:hAnsi="Arial"/>
          <w:b/>
          <w:bCs/>
          <w:color w:val="0D9488"/>
          <w:sz w:val="28"/>
          <w:szCs w:val="28"/>
        </w:rPr>
        <w:t xml:space="preserve">2.1 Why Existing Solutions Fail Independent Labs</w:t>
      </w:r>
    </w:p>
    <w:p>
      <w:pPr>
        <w:spacing w:before="80" w:after="120" w:line="360" w:lineRule="auto"/>
        <w:jc w:val="both"/>
      </w:pPr>
      <w:r>
        <w:rPr>
          <w:rFonts w:ascii="Arial" w:cs="Arial" w:eastAsia="Arial" w:hAnsi="Arial"/>
          <w:b w:val="false"/>
          <w:bCs w:val="false"/>
          <w:i w:val="false"/>
          <w:iCs w:val="false"/>
          <w:color w:val="1E293B"/>
          <w:sz w:val="22"/>
          <w:szCs w:val="22"/>
        </w:rPr>
        <w:t xml:space="preserve">The current RCM AI market is dominated by four categories of vendor, none of which adequately serves independent labs: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Hospital-Focused Enterprise Platforms (Waystar, R1 RCM, Experian Health): These platforms are architected for large hospital systems with dedicated IT staff, multimillion-dollar contracts, and procurement timelines of 6–18 months. They have no lab-specific LCD/NCD rule engines and do not address the molecular diagnostics or toxicology denial patterns that are the primary revenue leakage points for independent labs.</w:t>
      </w:r>
    </w:p>
    <w:p>
      <w:pPr>
        <w:pStyle w:val="ListParagraph"/>
        <w:numPr>
          <w:ilvl w:val="0"/>
          <w:numId w:val="2"/>
        </w:numPr>
        <w:spacing w:before="40" w:after="80"/>
      </w:pPr>
      <w:r>
        <w:rPr>
          <w:rFonts w:ascii="Arial" w:cs="Arial" w:eastAsia="Arial" w:hAnsi="Arial"/>
          <w:color w:val="1E293B"/>
          <w:sz w:val="22"/>
          <w:szCs w:val="22"/>
        </w:rPr>
        <w:t xml:space="preserve">AI Claims Review Tools (AKASA, Olive AI-successor products): These tools were designed for hospital-scale denials in surgical, emergency, and acute care contexts. They lack the specialty knowledge required for MolDx coverage determination, NCCN evidence integration for oncology molecular profiling, or SUD documentation requirements for toxicology.</w:t>
      </w:r>
    </w:p>
    <w:p>
      <w:pPr>
        <w:pStyle w:val="ListParagraph"/>
        <w:numPr>
          <w:ilvl w:val="0"/>
          <w:numId w:val="2"/>
        </w:numPr>
        <w:spacing w:before="40" w:after="80"/>
      </w:pPr>
      <w:r>
        <w:rPr>
          <w:rFonts w:ascii="Arial" w:cs="Arial" w:eastAsia="Arial" w:hAnsi="Arial"/>
          <w:color w:val="1E293B"/>
          <w:sz w:val="22"/>
          <w:szCs w:val="22"/>
        </w:rPr>
        <w:t xml:space="preserve">Traditional Lab Billing Services (billing companies, clearinghouses): These services use rules-based logic that cannot adapt to the growing complexity of payer-specific coverage criteria, nor can they generate the evidence-backed appeal narratives that are increasingly required by payers and Medicare Administrative Contractors.</w:t>
      </w:r>
    </w:p>
    <w:p>
      <w:pPr>
        <w:pStyle w:val="ListParagraph"/>
        <w:numPr>
          <w:ilvl w:val="0"/>
          <w:numId w:val="2"/>
        </w:numPr>
        <w:spacing w:before="40" w:after="80"/>
      </w:pPr>
      <w:r>
        <w:rPr>
          <w:rFonts w:ascii="Arial" w:cs="Arial" w:eastAsia="Arial" w:hAnsi="Arial"/>
          <w:color w:val="1E293B"/>
          <w:sz w:val="22"/>
          <w:szCs w:val="22"/>
        </w:rPr>
        <w:t xml:space="preserve">Generic AI Automation Platforms (RPA tools, general-purpose LLM wrappers): These tools lack the clinical domain knowledge, regulatory compliance infrastructure, and healthcare-specific data security posture required to handle PHI and to provide defensible clinical decision support.</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result is a white space of extraordinary size: no AI-native platform exists that was purpose-built for the clinical laboratory sector, addresses its specific denial taxonomy (LCD/NCD rules, MolDx, NCCN, toxicology MOR/confirmatory coding), and is deployable by independent labs that lack enterprise IT infrastructure.</w:t>
      </w:r>
    </w:p>
    <w:p>
      <w:pPr>
        <w:pStyle w:val="Heading2"/>
        <w:spacing w:before="320" w:after="120"/>
      </w:pPr>
      <w:r>
        <w:rPr>
          <w:rFonts w:ascii="Arial" w:cs="Arial" w:eastAsia="Arial" w:hAnsi="Arial"/>
          <w:b/>
          <w:bCs/>
          <w:color w:val="0D9488"/>
          <w:sz w:val="28"/>
          <w:szCs w:val="28"/>
        </w:rPr>
        <w:t xml:space="preserve">2.2 Ardia's Neuro-Symbolic Sandwich Architecture</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clinical intelligence engine is built on a proprietary architectural approach that the company calls the Neuro-Symbolic Sandwich Architecture. This design deliberately combines three distinct AI paradigms to maximize both accuracy and explainability — a combination that is essential in regulated healthcare environments where every AI output must be auditable and defensible.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architecture operates in three integrated layers: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LLM Reasoning Layer (the 'bread'): A large language model — currently leveraging Claude Sonnet from Anthropic and GPT-4o from OpenAI in an ensemble configuration — performs clinical context understanding, extracts denial reason codes, identifies documentation deficiencies, and formulates the narrative argument for each appeal. The LLM operates with chain-of-thought prompting and a structured clinical reasoning framework that forces explicit evidence identification before conclusion generation.</w:t>
      </w:r>
    </w:p>
    <w:p>
      <w:pPr>
        <w:pStyle w:val="ListParagraph"/>
        <w:numPr>
          <w:ilvl w:val="0"/>
          <w:numId w:val="2"/>
        </w:numPr>
        <w:spacing w:before="40" w:after="80"/>
      </w:pPr>
      <w:r>
        <w:rPr>
          <w:rFonts w:ascii="Arial" w:cs="Arial" w:eastAsia="Arial" w:hAnsi="Arial"/>
          <w:color w:val="1E293B"/>
          <w:sz w:val="22"/>
          <w:szCs w:val="22"/>
        </w:rPr>
        <w:t xml:space="preserve">Symbolic Rules Engine (the 'filling'): A deterministic rule engine containing 847 LCD (Local Coverage Determination) and NCD (National Coverage Determination) rules, payer-specific coverage criteria, MolDx policy requirements, NCCN clinical guideline decision trees, and prior authorization logic. The symbolic layer constrains the LLM to policy-correct outputs and provides human-auditable decision trails. It also contains the TRAIGA compliance gate, ensuring every output meets human-in-loop review requirements before any claim action is taken.</w:t>
      </w:r>
    </w:p>
    <w:p>
      <w:pPr>
        <w:pStyle w:val="ListParagraph"/>
        <w:numPr>
          <w:ilvl w:val="0"/>
          <w:numId w:val="2"/>
        </w:numPr>
        <w:spacing w:before="40" w:after="80"/>
      </w:pPr>
      <w:r>
        <w:rPr>
          <w:rFonts w:ascii="Arial" w:cs="Arial" w:eastAsia="Arial" w:hAnsi="Arial"/>
          <w:color w:val="1E293B"/>
          <w:sz w:val="22"/>
          <w:szCs w:val="22"/>
        </w:rPr>
        <w:t xml:space="preserve">ML Outcome Predictor (the second 'bread'): A machine learning model trained on historical denial outcomes, payer behavior patterns, and adjudication data provides a win probability score for each appeal strategy before submission. This allows the system to prioritize high-value, high-probability appeals and to route borderline cases to human review, optimizing both recovery rates and staff time allocation.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Core performance metrics: </w:t>
            </w:r>
            <w:r>
              <w:rPr>
                <w:rFonts w:ascii="Arial" w:cs="Arial" w:eastAsia="Arial" w:hAnsi="Arial"/>
                <w:color w:val="475569"/>
                <w:sz w:val="22"/>
                <w:szCs w:val="22"/>
              </w:rPr>
              <w:t xml:space="preserve"/>
            </w:r>
          </w:p>
          <w:p>
            <w:pPr>
              <w:spacing w:before="60" w:after="60"/>
            </w:pPr>
            <w:r>
              <w:rPr>
                <w:rFonts w:ascii="Arial" w:cs="Arial" w:eastAsia="Arial" w:hAnsi="Arial"/>
                <w:b/>
                <w:bCs/>
                <w:color w:val="0A1628"/>
                <w:sz w:val="22"/>
                <w:szCs w:val="22"/>
              </w:rPr>
              <w:t xml:space="preserve">  &lt;90 seconds </w:t>
            </w:r>
            <w:r>
              <w:rPr>
                <w:rFonts w:ascii="Arial" w:cs="Arial" w:eastAsia="Arial" w:hAnsi="Arial"/>
                <w:color w:val="475569"/>
                <w:sz w:val="22"/>
                <w:szCs w:val="22"/>
              </w:rPr>
              <w:t xml:space="preserve">from denial identification to appeal brief generation</w:t>
            </w:r>
          </w:p>
          <w:p>
            <w:pPr>
              <w:spacing w:before="60" w:after="60"/>
            </w:pPr>
            <w:r>
              <w:rPr>
                <w:rFonts w:ascii="Arial" w:cs="Arial" w:eastAsia="Arial" w:hAnsi="Arial"/>
                <w:b/>
                <w:bCs/>
                <w:color w:val="0A1628"/>
                <w:sz w:val="22"/>
                <w:szCs w:val="22"/>
              </w:rPr>
              <w:t xml:space="preserve">  89% </w:t>
            </w:r>
            <w:r>
              <w:rPr>
                <w:rFonts w:ascii="Arial" w:cs="Arial" w:eastAsia="Arial" w:hAnsi="Arial"/>
                <w:color w:val="475569"/>
                <w:sz w:val="22"/>
                <w:szCs w:val="22"/>
              </w:rPr>
              <w:t xml:space="preserve">win rate on appealed claims (validated against historical data)</w:t>
            </w:r>
          </w:p>
          <w:p>
            <w:pPr>
              <w:spacing w:before="60" w:after="60"/>
            </w:pPr>
            <w:r>
              <w:rPr>
                <w:rFonts w:ascii="Arial" w:cs="Arial" w:eastAsia="Arial" w:hAnsi="Arial"/>
                <w:b/>
                <w:bCs/>
                <w:color w:val="0A1628"/>
                <w:sz w:val="22"/>
                <w:szCs w:val="22"/>
              </w:rPr>
              <w:t xml:space="preserve">  340ms </w:t>
            </w:r>
            <w:r>
              <w:rPr>
                <w:rFonts w:ascii="Arial" w:cs="Arial" w:eastAsia="Arial" w:hAnsi="Arial"/>
                <w:color w:val="475569"/>
                <w:sz w:val="22"/>
                <w:szCs w:val="22"/>
              </w:rPr>
              <w:t xml:space="preserve">RAG evidence retrieval from 14 medical and regulatory databases</w:t>
            </w:r>
          </w:p>
          <w:p>
            <w:pPr>
              <w:spacing w:before="60" w:after="60"/>
            </w:pPr>
            <w:r>
              <w:rPr>
                <w:rFonts w:ascii="Arial" w:cs="Arial" w:eastAsia="Arial" w:hAnsi="Arial"/>
                <w:b/>
                <w:bCs/>
                <w:color w:val="0A1628"/>
                <w:sz w:val="22"/>
                <w:szCs w:val="22"/>
              </w:rPr>
              <w:t xml:space="preserve">  847 </w:t>
            </w:r>
            <w:r>
              <w:rPr>
                <w:rFonts w:ascii="Arial" w:cs="Arial" w:eastAsia="Arial" w:hAnsi="Arial"/>
                <w:color w:val="475569"/>
                <w:sz w:val="22"/>
                <w:szCs w:val="22"/>
              </w:rPr>
              <w:t xml:space="preserve">LCD/NCD rules in the symbolic knowledge base</w:t>
            </w:r>
          </w:p>
          <w:p>
            <w:pPr>
              <w:spacing w:before="60" w:after="60"/>
            </w:pPr>
            <w:r>
              <w:rPr>
                <w:rFonts w:ascii="Arial" w:cs="Arial" w:eastAsia="Arial" w:hAnsi="Arial"/>
                <w:b/>
                <w:bCs/>
                <w:color w:val="0A1628"/>
                <w:sz w:val="22"/>
                <w:szCs w:val="22"/>
              </w:rPr>
              <w:t xml:space="preserve">  47× </w:t>
            </w:r>
            <w:r>
              <w:rPr>
                <w:rFonts w:ascii="Arial" w:cs="Arial" w:eastAsia="Arial" w:hAnsi="Arial"/>
                <w:color w:val="475569"/>
                <w:sz w:val="22"/>
                <w:szCs w:val="22"/>
              </w:rPr>
              <w:t xml:space="preserve">cost advantage over manual appeal processing ($181 manual vs. $3.85 AI-assisted)</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0D9488"/>
          <w:sz w:val="28"/>
          <w:szCs w:val="28"/>
        </w:rPr>
        <w:t xml:space="preserve">2.3 The RAG Evidence Retrieval System</w:t>
      </w:r>
    </w:p>
    <w:p>
      <w:pPr>
        <w:spacing w:before="80" w:after="120" w:line="360" w:lineRule="auto"/>
        <w:jc w:val="both"/>
      </w:pPr>
      <w:r>
        <w:rPr>
          <w:rFonts w:ascii="Arial" w:cs="Arial" w:eastAsia="Arial" w:hAnsi="Arial"/>
          <w:b w:val="false"/>
          <w:bCs w:val="false"/>
          <w:i w:val="false"/>
          <w:iCs w:val="false"/>
          <w:color w:val="1E293B"/>
          <w:sz w:val="22"/>
          <w:szCs w:val="22"/>
        </w:rPr>
        <w:t xml:space="preserve">A critical differentiator in Ardia's architecture is its retrieval-augmented generation (RAG) system, which indexes and provides sub-second access to 14 evidence databases. These include CMS coverage policies and LCD/NCD determinations, NCCN clinical practice guidelines (oncology molecular profiling), PubMed clinical literature (100M+ indexed articles), ALJ and Medicare Administrative Contractor appeal decision histories, American College of Medical Genetics guidelines, American Society of Addiction Medicine clinical criteria, and payer-specific coverage bulletin libraries.</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This evidence infrastructure means that every appeal brief generated by Ardia is grounded in contemporaneous, peer-reviewed, and policy-sanctioned evidence — not generic template text. The system identifies the specific evidence most relevant to each denial's clinical context using a semantic similarity search with 340-millisecond average retrieval time, enabling the LLM reasoning layer to craft highly specific, evidence-dense appeals that mirror the documentation quality of expert human appeal writers at a fraction of the cost and time.</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3. The DFW Clinical Ecosystem: Why This Market, Why Now</w:t>
      </w:r>
    </w:p>
    <w:p>
      <w:pPr>
        <w:pStyle w:val="Heading2"/>
        <w:spacing w:before="320" w:after="120"/>
      </w:pPr>
      <w:r>
        <w:rPr>
          <w:rFonts w:ascii="Arial" w:cs="Arial" w:eastAsia="Arial" w:hAnsi="Arial"/>
          <w:b/>
          <w:bCs/>
          <w:color w:val="0D9488"/>
          <w:sz w:val="28"/>
          <w:szCs w:val="28"/>
        </w:rPr>
        <w:t xml:space="preserve">3.1 Dallas-Fort Worth as the National Healthcare AI Beachhead</w:t>
      </w:r>
    </w:p>
    <w:p>
      <w:pPr>
        <w:spacing w:before="80" w:after="120" w:line="360" w:lineRule="auto"/>
        <w:jc w:val="both"/>
      </w:pPr>
      <w:r>
        <w:rPr>
          <w:rFonts w:ascii="Arial" w:cs="Arial" w:eastAsia="Arial" w:hAnsi="Arial"/>
          <w:b w:val="false"/>
          <w:bCs w:val="false"/>
          <w:i w:val="false"/>
          <w:iCs w:val="false"/>
          <w:color w:val="1E293B"/>
          <w:sz w:val="22"/>
          <w:szCs w:val="22"/>
        </w:rPr>
        <w:t xml:space="preserve">Dallas-Fort Worth is not merely a convenient headquarters location for Ardia — it is a strategically optimal market for a clinical AI startup targeting labs and ACOs. The DFW metro hosts one of the highest concentrations of sophisticated healthcare infrastructure in the United States, combined with a regulatory environment (Texas SB 1188 and TRAIGA) that simultaneously creates compliance requirements (competitive moats for early adopters) and innovation sandboxes (the 36-month TRAIGA exemption).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A1628"/>
                <w:sz w:val="48"/>
                <w:szCs w:val="48"/>
              </w:rPr>
              <w:t xml:space="preserve">90</w:t>
            </w:r>
          </w:p>
          <w:p>
            <w:pPr>
              <w:spacing w:before="0" w:after="0"/>
              <w:jc w:val="center"/>
            </w:pPr>
            <w:r>
              <w:rPr>
                <w:rFonts w:ascii="Arial" w:cs="Arial" w:eastAsia="Arial" w:hAnsi="Arial"/>
                <w:color w:val="475569"/>
                <w:sz w:val="18"/>
                <w:szCs w:val="18"/>
              </w:rPr>
              <w:t xml:space="preserve">DFWHC Member Hospitals</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265K+</w:t>
            </w:r>
          </w:p>
          <w:p>
            <w:pPr>
              <w:spacing w:before="0" w:after="0"/>
              <w:jc w:val="center"/>
            </w:pPr>
            <w:r>
              <w:rPr>
                <w:rFonts w:ascii="Arial" w:cs="Arial" w:eastAsia="Arial" w:hAnsi="Arial"/>
                <w:color w:val="475569"/>
                <w:sz w:val="18"/>
                <w:szCs w:val="18"/>
              </w:rPr>
              <w:t xml:space="preserve">Healthcare Jobs</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97706"/>
                <w:sz w:val="48"/>
                <w:szCs w:val="48"/>
              </w:rPr>
              <w:t xml:space="preserve">$14B</w:t>
            </w:r>
          </w:p>
          <w:p>
            <w:pPr>
              <w:spacing w:before="0" w:after="0"/>
              <w:jc w:val="center"/>
            </w:pPr>
            <w:r>
              <w:rPr>
                <w:rFonts w:ascii="Arial" w:cs="Arial" w:eastAsia="Arial" w:hAnsi="Arial"/>
                <w:color w:val="475569"/>
                <w:sz w:val="18"/>
                <w:szCs w:val="18"/>
              </w:rPr>
              <w:t xml:space="preserve">Hospital Economic Impact</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58</w:t>
            </w:r>
          </w:p>
          <w:p>
            <w:pPr>
              <w:spacing w:before="0" w:after="0"/>
              <w:jc w:val="center"/>
            </w:pPr>
            <w:r>
              <w:rPr>
                <w:rFonts w:ascii="Arial" w:cs="Arial" w:eastAsia="Arial" w:hAnsi="Arial"/>
                <w:color w:val="475569"/>
                <w:sz w:val="18"/>
                <w:szCs w:val="18"/>
              </w:rPr>
              <w:t xml:space="preserve">Texas MSSP ACOs</w:t>
            </w:r>
          </w:p>
        </w:tc>
      </w:tr>
    </w:tbl>
    <w:p>
      <w:pPr>
        <w:pStyle w:val="Heading2"/>
        <w:spacing w:before="320" w:after="120"/>
      </w:pPr>
      <w:r>
        <w:rPr>
          <w:rFonts w:ascii="Arial" w:cs="Arial" w:eastAsia="Arial" w:hAnsi="Arial"/>
          <w:b/>
          <w:bCs/>
          <w:color w:val="0D9488"/>
          <w:sz w:val="28"/>
          <w:szCs w:val="28"/>
        </w:rPr>
        <w:t xml:space="preserve">3.2 Phase 1 Lab Targets</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Phase 1 go-to-market focuses on the concentrated cluster of independent and mid-size labs in the Dallas/Irving/Farmers Branch corridor and Denton County, with the following priority prospects: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560"/>
        <w:gridCol w:w="2800"/>
      </w:tblGrid>
      <w:tr>
        <w:trPr>
          <w:tblHeader/>
        </w:trPr>
        <w:tc>
          <w:tcPr>
            <w:tcW w:type="dxa" w:w="24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Lab Organization</w:t>
            </w:r>
          </w:p>
        </w:tc>
        <w:tc>
          <w:tcPr>
            <w:tcW w:type="dxa" w:w="16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Location</w:t>
            </w:r>
          </w:p>
        </w:tc>
        <w:tc>
          <w:tcPr>
            <w:tcW w:type="dxa" w:w="25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Size / Volume</w:t>
            </w:r>
          </w:p>
        </w:tc>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Strategic Fit</w:t>
            </w:r>
          </w:p>
        </w:tc>
      </w:tr>
      <w:tr>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HealthTrackRx</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Denton, TX (HQ)</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10,000+ clinician network, CDC partner, $45.5M investment</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Nation's premier independent PCR lab; technology-forward leadership</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Principle Health Systems</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Irving, TX</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1M+ tests/year, HL7 integrated</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Fast-growing tox + molecular; acquisition-minded, explicit PLG fit</w:t>
            </w:r>
          </w:p>
        </w:tc>
      </w:tr>
      <w:tr>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Filos Health Laboratory</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Dallas–Fort Worth</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10,000+ patients, COLA/CLIA</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Explicitly pursuing AI — press materials cite AI as strategic priority</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Apollo Laboratories</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Farmers Branch, TX</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Full-panel tox, 24–72hr TAT</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Independent tox serving treatment centers; ideal Phase 1 pilot profile</w:t>
            </w:r>
          </w:p>
        </w:tc>
      </w:tr>
      <w:tr>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MD Molecular Diagnostics</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Farmers Branch, TX</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Pathogen detection panels</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Small-to-mid independent molecular lab in core corridor</w:t>
            </w:r>
          </w:p>
        </w:tc>
      </w:tr>
    </w:tbl>
    <w:p>
      <w:pPr>
        <w:pStyle w:val="Heading2"/>
        <w:spacing w:before="320" w:after="120"/>
      </w:pPr>
      <w:r>
        <w:rPr>
          <w:rFonts w:ascii="Arial" w:cs="Arial" w:eastAsia="Arial" w:hAnsi="Arial"/>
          <w:b/>
          <w:bCs/>
          <w:color w:val="0D9488"/>
          <w:sz w:val="28"/>
          <w:szCs w:val="28"/>
        </w:rPr>
        <w:t xml:space="preserve">3.3 ACO Partnership Pathway</w:t>
      </w:r>
    </w:p>
    <w:p>
      <w:pPr>
        <w:spacing w:before="80" w:after="120" w:line="360" w:lineRule="auto"/>
        <w:jc w:val="both"/>
      </w:pPr>
      <w:r>
        <w:rPr>
          <w:rFonts w:ascii="Arial" w:cs="Arial" w:eastAsia="Arial" w:hAnsi="Arial"/>
          <w:b w:val="false"/>
          <w:bCs w:val="false"/>
          <w:i w:val="false"/>
          <w:iCs w:val="false"/>
          <w:color w:val="1E293B"/>
          <w:sz w:val="22"/>
          <w:szCs w:val="22"/>
        </w:rPr>
        <w:t xml:space="preserve">The two dominant DFW ACOs represent Ardia's highest-value enterprise expansion pathway, with combined management of over 200,000 Medicare beneficiaries and hundreds of millions in annual shared savings: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Baylor Scott &amp; White Quality Alliance (BSWQA): 6,000+ physicians, 50 hospitals, approximately 750,000 total lives under management. Generated $107.6 million in gross MSSP savings in 2023 (the highest in Texas) and $104.5 million in 2024. NCQA Level-2 accredited. Ardia's AcoIQ module provides lab data pipeline analytics that can directly support BSWQA's shared savings attribution and quality measure reporting workflows.</w:t>
      </w:r>
    </w:p>
    <w:p>
      <w:pPr>
        <w:pStyle w:val="ListParagraph"/>
        <w:numPr>
          <w:ilvl w:val="0"/>
          <w:numId w:val="2"/>
        </w:numPr>
        <w:spacing w:before="40" w:after="80"/>
      </w:pPr>
      <w:r>
        <w:rPr>
          <w:rFonts w:ascii="Arial" w:cs="Arial" w:eastAsia="Arial" w:hAnsi="Arial"/>
          <w:color w:val="1E293B"/>
          <w:sz w:val="22"/>
          <w:szCs w:val="22"/>
        </w:rPr>
        <w:t xml:space="preserve">Southwestern Health Resources (SWHR): The UT Southwestern Medical Center and Texas Health Resources partnership. Ranked #1 nationally for Medicare savings for three consecutive years, with $304 million in cumulative savings since 2017. Coordinates 5,500+ providers across 16–17 North Texas counties. SWHR represents the most strategic EHR integration pathway in the DFW market.</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Texas as a whole hosts 58 MSSP ACOs that paid out over $803 million in shared savings in 2024, with 90% of Texas ACOs earning payouts versus a 75% national average. This ACO density and performance creates a large, sophisticated buyer base for Ardia's population health analytics capabilities in Phase 2 and beyond.</w:t>
      </w:r>
    </w:p>
    <w:p>
      <w:r>
        <w:br w:type="page"/>
      </w:r>
    </w:p>
    <w:p>
      <w:pPr>
        <w:shd w:fill="0A1628" w:val="clear"/>
        <w:spacing w:before="0" w:after="80"/>
        <w:jc w:val="center"/>
      </w:pPr>
      <w:r>
        <w:rPr>
          <w:rFonts w:ascii="Arial" w:cs="Arial" w:eastAsia="Arial" w:hAnsi="Arial"/>
          <w:b/>
          <w:bCs/>
          <w:color w:val="FFFFFF"/>
          <w:spacing w:val="100"/>
          <w:sz w:val="32"/>
          <w:szCs w:val="32"/>
        </w:rPr>
        <w:t xml:space="preserve">PART II — BUSINESS PLAN</w:t>
      </w:r>
    </w:p>
    <w:p>
      <w:pPr>
        <w:shd w:fill="0A1628" w:val="clear"/>
        <w:spacing w:before="0" w:after="0"/>
        <w:jc w:val="center"/>
      </w:pPr>
      <w:r>
        <w:rPr>
          <w:rFonts w:ascii="Arial" w:cs="Arial" w:eastAsia="Arial" w:hAnsi="Arial"/>
          <w:i/>
          <w:iCs/>
          <w:color w:val="94A3B8"/>
          <w:sz w:val="24"/>
          <w:szCs w:val="24"/>
        </w:rPr>
        <w:t xml:space="preserve">Strategy, Financials, Go-to-Market, and Investment Case</w:t>
      </w:r>
    </w:p>
    <w:p>
      <w:pPr>
        <w:spacing w:before="0" w:after="240"/>
      </w:pPr>
      <w:r>
        <w:rPr>
          <w:rFonts w:ascii="Arial" w:cs="Arial" w:eastAsia="Arial" w:hAnsi="Arial"/>
          <w:sz w:val="22"/>
          <w:szCs w:val="22"/>
        </w:rPr>
        <w:t xml:space="preserve"/>
      </w:r>
    </w:p>
    <w:p>
      <w:pPr>
        <w:pStyle w:val="Heading1"/>
        <w:pBdr>
          <w:bottom w:val="single" w:color="0D9488" w:sz="8" w:space="4"/>
        </w:pBdr>
        <w:spacing w:before="480" w:after="160"/>
      </w:pPr>
      <w:r>
        <w:rPr>
          <w:rFonts w:ascii="Arial" w:cs="Arial" w:eastAsia="Arial" w:hAnsi="Arial"/>
          <w:b/>
          <w:bCs/>
          <w:color w:val="0A1628"/>
          <w:sz w:val="36"/>
          <w:szCs w:val="36"/>
        </w:rPr>
        <w:t xml:space="preserve">4. Company Overview and Mission</w:t>
      </w:r>
    </w:p>
    <w:p>
      <w:pPr>
        <w:spacing w:before="80" w:after="120" w:line="360" w:lineRule="auto"/>
        <w:jc w:val="both"/>
      </w:pPr>
      <w:r>
        <w:rPr>
          <w:rFonts w:ascii="Arial" w:cs="Arial" w:eastAsia="Arial" w:hAnsi="Arial"/>
          <w:b w:val="false"/>
          <w:bCs w:val="false"/>
          <w:i w:val="false"/>
          <w:iCs w:val="false"/>
          <w:color w:val="1E293B"/>
          <w:sz w:val="22"/>
          <w:szCs w:val="22"/>
        </w:rPr>
        <w:t xml:space="preserve">Ardia Health is a clinical artificial intelligence company headquartered in Argyle (Flower Mound), Texas 76226. The company was incorporated as a Delaware LLC in January 2026.</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Mission: To ensure that every clinical test performed by an independent laboratory is reimbursed at its full earned value, using AI that is transparent, auditable, and built for the regulatory reality of modern healthcare.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Vision: To become the operating system for independent lab revenue in the United States — the platform that every independent lab relies on not only to recover denied revenue but to optimize pricing strategy, anticipate payer behavior, and navigate the increasingly complex landscape of value-based care.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company's four core product modules — ToxIQ, MolecuIQ, AcoIQ, and BehaviorIQ — address the four highest-value clinical lab categories in the independent market: toxicology and substance use disorder testing, molecular diagnostics and pharmacogenomics, ACO population health analytics, and behavioral health and addiction medicine billing.</w:t>
      </w:r>
    </w:p>
    <w:p>
      <w:pPr>
        <w:pStyle w:val="Heading1"/>
        <w:pBdr>
          <w:bottom w:val="single" w:color="0D9488" w:sz="8" w:space="4"/>
        </w:pBdr>
        <w:spacing w:before="480" w:after="160"/>
      </w:pPr>
      <w:r>
        <w:rPr>
          <w:rFonts w:ascii="Arial" w:cs="Arial" w:eastAsia="Arial" w:hAnsi="Arial"/>
          <w:b/>
          <w:bCs/>
          <w:color w:val="0A1628"/>
          <w:sz w:val="36"/>
          <w:szCs w:val="36"/>
        </w:rPr>
        <w:t xml:space="preserve">5. Market Analysis</w:t>
      </w:r>
    </w:p>
    <w:p>
      <w:pPr>
        <w:pStyle w:val="Heading2"/>
        <w:spacing w:before="320" w:after="120"/>
      </w:pPr>
      <w:r>
        <w:rPr>
          <w:rFonts w:ascii="Arial" w:cs="Arial" w:eastAsia="Arial" w:hAnsi="Arial"/>
          <w:b/>
          <w:bCs/>
          <w:color w:val="0D9488"/>
          <w:sz w:val="28"/>
          <w:szCs w:val="28"/>
        </w:rPr>
        <w:t xml:space="preserve">5.1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1200"/>
        <w:gridCol w:w="2800"/>
      </w:tblGrid>
      <w:tr>
        <w:trPr>
          <w:tblHeader/>
        </w:trPr>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Market Segment</w:t>
            </w:r>
          </w:p>
        </w:tc>
        <w:tc>
          <w:tcPr>
            <w:tcW w:type="dxa" w:w="25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Size (2024/2026)</w:t>
            </w:r>
          </w:p>
        </w:tc>
        <w:tc>
          <w:tcPr>
            <w:tcW w:type="dxa" w:w="12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CAGR</w:t>
            </w:r>
          </w:p>
        </w:tc>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Source</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AI RCM Market (TAM)</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$20.6B (2024) → $70.1B (2030)</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24.2%</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Grand View Research 2024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U.S. RCM Market</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$56.8B (2024)</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Market Research Future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Global Precision Medicine</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$100–120B (2025) → $250B (2030)</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11–16%</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Grand View / Mordor 2024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Pharmacogenomics (PGx)</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$6–10B global / $2.5–4.3B U.S.</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8–14%</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APGA / Grand View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NGS Testing</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~$14B global</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14.6%</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MarketsandMarkets 2024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Companion Diagnostics</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$7.5–9.1B global</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10.5–12.6%</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SkyQuest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Diagnostics Center RCM (SAM)</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$14B (2026)</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Internal estimate, CMS data</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U.S. Lab RCM Market</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$17.73B (2026) → $41.27B (2034)</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11.6%</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Towards Healthcare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Clinical Lab Market (total)</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$96–100B annually</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IBIS World / CMS 2024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Independent Lab AI RCM (SOM, Yr 5)</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$620M+</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Ardia bottom-up model</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DFW Metro Lab Market (beachhead)</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$3–5B+</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Internal estimate, DFWHC data</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Ardia's bottom-up serviceable obtainable market calculation is based on 7,000 CLIA-certified independent labs, an average of $240,000 in annually recoverable denied revenue per lab (derived from a 15% average denial rate on $3M average annual billings, 50% recovery rate, and 15% success fee), yielding a $252M annual addressable revenue pool from success fees alone. Adding the SaaS platform expansion tier and ACO intelligence modules yields a total SOM of $620M+ at full penetration in Year 5.</w:t>
      </w:r>
    </w:p>
    <w:p>
      <w:pPr>
        <w:pStyle w:val="Heading2"/>
        <w:spacing w:before="320" w:after="120"/>
      </w:pPr>
      <w:r>
        <w:rPr>
          <w:rFonts w:ascii="Arial" w:cs="Arial" w:eastAsia="Arial" w:hAnsi="Arial"/>
          <w:b/>
          <w:bCs/>
          <w:color w:val="0D9488"/>
          <w:sz w:val="28"/>
          <w:szCs w:val="28"/>
        </w:rPr>
        <w:t xml:space="preserve">5.2 Competitive Positioning</w:t>
      </w:r>
    </w:p>
    <w:p>
      <w:pPr>
        <w:spacing w:before="80" w:after="120" w:line="360" w:lineRule="auto"/>
        <w:jc w:val="both"/>
      </w:pPr>
      <w:r>
        <w:rPr>
          <w:rFonts w:ascii="Arial" w:cs="Arial" w:eastAsia="Arial" w:hAnsi="Arial"/>
          <w:b w:val="false"/>
          <w:bCs w:val="false"/>
          <w:i w:val="false"/>
          <w:iCs w:val="false"/>
          <w:color w:val="1E293B"/>
          <w:sz w:val="22"/>
          <w:szCs w:val="22"/>
        </w:rPr>
        <w:t xml:space="preserve">Ardia operates in a market with significant but incorrectly positioned competition. All major AI RCM players target hospital systems. None has built a purpose-designed solution for independent labs. The competitive matrix below illustrates Ardia's differentiated position: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20"/>
        <w:gridCol w:w="1540"/>
        <w:gridCol w:w="1540"/>
        <w:gridCol w:w="1760"/>
      </w:tblGrid>
      <w:tr>
        <w:trPr>
          <w:tblHeader/>
        </w:trPr>
        <w:tc>
          <w:tcPr>
            <w:tcW w:type="dxa" w:w="29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Capability</w:t>
            </w:r>
          </w:p>
        </w:tc>
        <w:tc>
          <w:tcPr>
            <w:tcW w:type="dxa" w:w="162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Ardia Health</w:t>
            </w:r>
          </w:p>
        </w:tc>
        <w:tc>
          <w:tcPr>
            <w:tcW w:type="dxa" w:w="15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Waystar</w:t>
            </w:r>
          </w:p>
        </w:tc>
        <w:tc>
          <w:tcPr>
            <w:tcW w:type="dxa" w:w="15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R1 RCM</w:t>
            </w:r>
          </w:p>
        </w:tc>
        <w:tc>
          <w:tcPr>
            <w:tcW w:type="dxa" w:w="17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AKASA</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Molecular / Toxicology Denial AI</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Native — built-in</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Not available</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Not available</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Not available</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LCD/NCD Rules Engine (847 rules)</w:t>
            </w:r>
          </w:p>
        </w:tc>
        <w:tc>
          <w:tcPr>
            <w:tcW w:type="dxa" w:w="16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847 rules, current</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Partial, hospital-focused</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Partial</w:t>
            </w:r>
          </w:p>
        </w:tc>
        <w:tc>
          <w:tcPr>
            <w:tcW w:type="dxa" w:w="1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Partial</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TX SB 1188 / TRAIGA Compliance</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Built-in from launch</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Roadmap unknown</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Roadmap unknown</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Roadmap unknown</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Independent Lab Focus</w:t>
            </w:r>
          </w:p>
        </w:tc>
        <w:tc>
          <w:tcPr>
            <w:tcW w:type="dxa" w:w="16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Exclusive focus</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Incidental</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None</w:t>
            </w:r>
          </w:p>
        </w:tc>
        <w:tc>
          <w:tcPr>
            <w:tcW w:type="dxa" w:w="1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None</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Pricing Model</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 success fee (no upfront)</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License + implementation</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License + % billed</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License fee</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Deployment Timeline</w:t>
            </w:r>
          </w:p>
        </w:tc>
        <w:tc>
          <w:tcPr>
            <w:tcW w:type="dxa" w:w="16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Self-serve, 2–4 weeks</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6–18 months</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6–18 months</w:t>
            </w:r>
          </w:p>
        </w:tc>
        <w:tc>
          <w:tcPr>
            <w:tcW w:type="dxa" w:w="1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3–6 months</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Typical Contract Value</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$40K–$405K/lab/yr</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$500K–$5M/yr</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$1M+/yr</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$250K–$2M/yr</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6. Product Architecture and Roadmap</w:t>
      </w:r>
    </w:p>
    <w:p>
      <w:pPr>
        <w:pStyle w:val="Heading2"/>
        <w:spacing w:before="320" w:after="120"/>
      </w:pPr>
      <w:r>
        <w:rPr>
          <w:rFonts w:ascii="Arial" w:cs="Arial" w:eastAsia="Arial" w:hAnsi="Arial"/>
          <w:b/>
          <w:bCs/>
          <w:color w:val="0D9488"/>
          <w:sz w:val="28"/>
          <w:szCs w:val="28"/>
        </w:rPr>
        <w:t xml:space="preserve">6.1 Product Modules</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platform is composed of four specialized intelligence modules, each targeting a distinct clinical lab revenue context:</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ToxIQ™ — Toxicology Revenue Intelligence: Addresses the highest-frequency denial patterns in substance use disorder testing, including medical necessity documentation for urine drug screens, confirmatory vs. presumptive testing justification, MOR/confirmatory drug panel coding, and synthetic opioid detection reporting. ToxIQ integrates with OTP (Opioid Treatment Program) workflow systems and MAT clinic EHRs to automate the linkage between treatment plans and test orders.</w:t>
      </w:r>
    </w:p>
    <w:p>
      <w:pPr>
        <w:pStyle w:val="ListParagraph"/>
        <w:numPr>
          <w:ilvl w:val="0"/>
          <w:numId w:val="2"/>
        </w:numPr>
        <w:spacing w:before="40" w:after="80"/>
      </w:pPr>
      <w:r>
        <w:rPr>
          <w:rFonts w:ascii="Arial" w:cs="Arial" w:eastAsia="Arial" w:hAnsi="Arial"/>
          <w:color w:val="1E293B"/>
          <w:sz w:val="22"/>
          <w:szCs w:val="22"/>
        </w:rPr>
        <w:t xml:space="preserve">MolecuIQ™ — Molecular Diagnostics &amp; Precision Medicine Intelligence: Covers the full precision medicine billing lifecycle for independent labs. Core capabilities include: automated MolDx/DEX Z-code registration tracking and compliance validation (mandatory in 28+ states since 2018, now expanding to UHC, Humana MA, and commercial payers); NCCN clinical guideline evidence integration for oncology molecular profiling; NGS panel coverage criteria automation under CMS NCD 90.2 and successor decisions; pharmacogenomics (PGx) coding and medical necessity documentation for all 65 CPIC Level A/B drug-gene pairs; CPT code mapping assistance for the 75,000+ genetic tests that must map to fewer than 200 molecular pathology codes (81400–81479 series and PLA codes 0001U+); prior authorization automation aligned with CMS-0057-F FHIR API requirements effective January 2027; and respiratory/infectious disease PCR panel denial pattern recognition. MolecuIQ is the core product for HealthTrackRx, Filos Health Lab, and all molecular diagnostics Phase 1 targets — addressing a segment where denial rates run 35.3% (3× the healthcare average) and only 46% of PGx claims are currently reimbursed.</w:t>
      </w:r>
    </w:p>
    <w:p>
      <w:pPr>
        <w:pStyle w:val="ListParagraph"/>
        <w:numPr>
          <w:ilvl w:val="0"/>
          <w:numId w:val="2"/>
        </w:numPr>
        <w:spacing w:before="40" w:after="80"/>
      </w:pPr>
      <w:r>
        <w:rPr>
          <w:rFonts w:ascii="Arial" w:cs="Arial" w:eastAsia="Arial" w:hAnsi="Arial"/>
          <w:color w:val="1E293B"/>
          <w:sz w:val="22"/>
          <w:szCs w:val="22"/>
        </w:rPr>
        <w:t xml:space="preserve">AcoIQ™ — ACO Population Health Analytics: Converts lab data streams from SWHR and BSWQA-affiliated labs into shared savings attribution models, quality measure performance dashboards, and total cost of care risk signals. AcoIQ positions Ardia as infrastructure for the ACO rather than a point billing tool, significantly expanding contract scope and stickiness.</w:t>
      </w:r>
    </w:p>
    <w:p>
      <w:pPr>
        <w:pStyle w:val="ListParagraph"/>
        <w:numPr>
          <w:ilvl w:val="0"/>
          <w:numId w:val="2"/>
        </w:numPr>
        <w:spacing w:before="40" w:after="80"/>
      </w:pPr>
      <w:r>
        <w:rPr>
          <w:rFonts w:ascii="Arial" w:cs="Arial" w:eastAsia="Arial" w:hAnsi="Arial"/>
          <w:color w:val="1E293B"/>
          <w:sz w:val="22"/>
          <w:szCs w:val="22"/>
        </w:rPr>
        <w:t xml:space="preserve">BehaviorIQ™ — Behavioral Health and Addiction Medicine: Specialized billing intelligence for behavioral health organizations, MAT clinics, and psychiatric group practices. Covers SUD billing rules, OTP coding (methadone and buprenorphine), prior authorization workflows for naltrexone/Vivitrol, and co-occurring disorder documentation. Targets the DFW behavioral health organizations including BHG, Metrocare Services, and MHMR of Tarrant County.</w:t>
      </w:r>
    </w:p>
    <w:p>
      <w:pPr>
        <w:pStyle w:val="Heading2"/>
        <w:spacing w:before="320" w:after="120"/>
      </w:pPr>
      <w:r>
        <w:rPr>
          <w:rFonts w:ascii="Arial" w:cs="Arial" w:eastAsia="Arial" w:hAnsi="Arial"/>
          <w:b/>
          <w:bCs/>
          <w:color w:val="0D9488"/>
          <w:sz w:val="28"/>
          <w:szCs w:val="28"/>
        </w:rPr>
        <w:t xml:space="preserve">6.2 Technology Stack and Security</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infrastructure is deployed exclusively on AWS US-East-1 (satisfying the TX SB 1188 US data residency requirement). All data in transit and at rest is encrypted with AES-256. The platform implements FHIR R4 for healthcare data exchange, EDI 835/837 for claims processing, and HL7 v2 for legacy EHR integration. Role-based access control (RBAC) is implemented at the row level in the data layer. All AI outputs require practitioner review before claim action, with a full audit trail logged to an immutable append-only store.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HIPAA Business Associate Agreement (BAA) framework, NIST AI Risk Management Framework (AI RMF) compliance documentation, and TRAIGA regulatory sandbox registration are all in active preparation for completion by Q2 2026.</w:t>
      </w:r>
    </w:p>
    <w:p>
      <w:pPr>
        <w:pStyle w:val="Heading2"/>
        <w:spacing w:before="320" w:after="120"/>
      </w:pPr>
      <w:r>
        <w:rPr>
          <w:rFonts w:ascii="Arial" w:cs="Arial" w:eastAsia="Arial" w:hAnsi="Arial"/>
          <w:b/>
          <w:bCs/>
          <w:color w:val="0D9488"/>
          <w:sz w:val="28"/>
          <w:szCs w:val="28"/>
        </w:rPr>
        <w:t xml:space="preserve">6.3 12-Month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Quarter</w:t>
            </w:r>
          </w:p>
        </w:tc>
        <w:tc>
          <w:tcPr>
            <w:tcW w:type="dxa" w:w="50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Milestone</w:t>
            </w:r>
          </w:p>
        </w:tc>
        <w:tc>
          <w:tcPr>
            <w:tcW w:type="dxa" w:w="28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Revenue Target</w:t>
            </w:r>
          </w:p>
        </w:tc>
      </w:tr>
      <w:tr>
        <w:tc>
          <w:tcPr>
            <w:tcW w:type="dxa" w:w="14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Q2 2026</w:t>
            </w:r>
          </w:p>
        </w:tc>
        <w:tc>
          <w:tcPr>
            <w:tcW w:type="dxa" w:w="50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ToxIQ MVP launch · 2 DFW pilot labs signed · EDI/FHIR integration v1</w:t>
            </w:r>
          </w:p>
        </w:tc>
        <w:tc>
          <w:tcPr>
            <w:tcW w:type="dxa" w:w="28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First $0 — pilot phase</w:t>
            </w:r>
          </w:p>
        </w:tc>
      </w:tr>
      <w:tr>
        <w:tc>
          <w:tcPr>
            <w:tcW w:type="dxa" w:w="14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Q3 2026</w:t>
            </w:r>
          </w:p>
        </w:tc>
        <w:tc>
          <w:tcPr>
            <w:tcW w:type="dxa" w:w="50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MolecuIQ beta · 5 paying labs · ADLM Annual Meeting · First success fees</w:t>
            </w:r>
          </w:p>
        </w:tc>
        <w:tc>
          <w:tcPr>
            <w:tcW w:type="dxa" w:w="28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$200K ARR</w:t>
            </w:r>
          </w:p>
        </w:tc>
      </w:tr>
      <w:tr>
        <w:tc>
          <w:tcPr>
            <w:tcW w:type="dxa" w:w="14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Q4 2026</w:t>
            </w:r>
          </w:p>
        </w:tc>
        <w:tc>
          <w:tcPr>
            <w:tcW w:type="dxa" w:w="50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SWHR/BSWQA ACO pilot · BehaviorIQ alpha · 15 paying labs</w:t>
            </w:r>
          </w:p>
        </w:tc>
        <w:tc>
          <w:tcPr>
            <w:tcW w:type="dxa" w:w="28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$600K ARR</w:t>
            </w:r>
          </w:p>
        </w:tc>
      </w:tr>
      <w:tr>
        <w:tc>
          <w:tcPr>
            <w:tcW w:type="dxa" w:w="14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Q1 2027</w:t>
            </w:r>
          </w:p>
        </w:tc>
        <w:tc>
          <w:tcPr>
            <w:tcW w:type="dxa" w:w="50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Full Texas launch · 25 paying labs · NAACOS conference · Series A prep</w:t>
            </w:r>
          </w:p>
        </w:tc>
        <w:tc>
          <w:tcPr>
            <w:tcW w:type="dxa" w:w="28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$1.5M ARR</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7. Business Model and Unit Economics</w:t>
      </w:r>
    </w:p>
    <w:p>
      <w:pPr>
        <w:pStyle w:val="Heading2"/>
        <w:spacing w:before="320" w:after="120"/>
      </w:pPr>
      <w:r>
        <w:rPr>
          <w:rFonts w:ascii="Arial" w:cs="Arial" w:eastAsia="Arial" w:hAnsi="Arial"/>
          <w:b/>
          <w:bCs/>
          <w:color w:val="0D9488"/>
          <w:sz w:val="28"/>
          <w:szCs w:val="28"/>
        </w:rPr>
        <w:t xml:space="preserve">7.1 Revenue Architecture</w:t>
      </w:r>
    </w:p>
    <w:p>
      <w:pPr>
        <w:spacing w:before="80" w:after="120" w:line="360" w:lineRule="auto"/>
        <w:jc w:val="both"/>
      </w:pPr>
      <w:r>
        <w:rPr>
          <w:rFonts w:ascii="Arial" w:cs="Arial" w:eastAsia="Arial" w:hAnsi="Arial"/>
          <w:b w:val="false"/>
          <w:bCs w:val="false"/>
          <w:i w:val="false"/>
          <w:iCs w:val="false"/>
          <w:color w:val="1E293B"/>
          <w:sz w:val="22"/>
          <w:szCs w:val="22"/>
        </w:rPr>
        <w:t xml:space="preserve">Ardia employs a three-tier revenue model designed to minimize adoption friction (Tier 1), expand revenue per customer (Tier 2), and capture enterprise value (Tier 3):</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Tier 1 — Success Fee (Primary): 15% of recovered revenue, charged only when claims are successfully resolved. No upfront cost, no minimum commitment, no implementation fee. For a lab with $3M in annual billings at a 15% denial rate and 50% recovery, this yields approximately $33,750 per year in Ardia revenue — with the lab netting $191,250 in recovered revenue they would otherwise have abandoned. The success fee model is the primary driver of PLG adoption and the first-year revenue base.</w:t>
      </w:r>
    </w:p>
    <w:p>
      <w:pPr>
        <w:pStyle w:val="ListParagraph"/>
        <w:numPr>
          <w:ilvl w:val="0"/>
          <w:numId w:val="2"/>
        </w:numPr>
        <w:spacing w:before="40" w:after="80"/>
      </w:pPr>
      <w:r>
        <w:rPr>
          <w:rFonts w:ascii="Arial" w:cs="Arial" w:eastAsia="Arial" w:hAnsi="Arial"/>
          <w:color w:val="1E293B"/>
          <w:sz w:val="22"/>
          <w:szCs w:val="22"/>
        </w:rPr>
        <w:t xml:space="preserve">Tier 2 — SaaS Platform ($2,500–$8,500/month): Full platform access for labs that exceed denial recovery thresholds and require deeper integration, custom LCD rule sets, dedicated customer success management, and compliance dashboard access. Converts to annual contracts at 3-year terms, generating predictable recurring revenue.</w:t>
      </w:r>
    </w:p>
    <w:p>
      <w:pPr>
        <w:pStyle w:val="ListParagraph"/>
        <w:numPr>
          <w:ilvl w:val="0"/>
          <w:numId w:val="2"/>
        </w:numPr>
        <w:spacing w:before="40" w:after="80"/>
      </w:pPr>
      <w:r>
        <w:rPr>
          <w:rFonts w:ascii="Arial" w:cs="Arial" w:eastAsia="Arial" w:hAnsi="Arial"/>
          <w:color w:val="1E293B"/>
          <w:sz w:val="22"/>
          <w:szCs w:val="22"/>
        </w:rPr>
        <w:t xml:space="preserve">Tier 3 — ACO Intelligence ($12,500–$35,000/month): AcoIQ enterprise contracts for ACO organizations seeking lab data pipeline analytics, shared savings attribution modeling, and population health quality measure reporting. These enterprise deals typically involve multi-year commitments and expand Ardia's footprint across the ACO's affiliated lab network.</w:t>
      </w:r>
    </w:p>
    <w:p>
      <w:pPr>
        <w:pStyle w:val="Heading2"/>
        <w:spacing w:before="320" w:after="120"/>
      </w:pPr>
      <w:r>
        <w:rPr>
          <w:rFonts w:ascii="Arial" w:cs="Arial" w:eastAsia="Arial" w:hAnsi="Arial"/>
          <w:b/>
          <w:bCs/>
          <w:color w:val="0D9488"/>
          <w:sz w:val="28"/>
          <w:szCs w:val="28"/>
        </w:rPr>
        <w:t xml:space="preserve">7.2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Metric</w:t>
            </w:r>
          </w:p>
        </w:tc>
        <w:tc>
          <w:tcPr>
            <w:tcW w:type="dxa" w:w="3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Value</w:t>
            </w:r>
          </w:p>
        </w:tc>
        <w:tc>
          <w:tcPr>
            <w:tcW w:type="dxa" w:w="3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Notes</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Target Lab Size</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10,000–500,000 tests/year</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Sweet spot: 25K–150K tests</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Average Denial Rate (lab)</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15–27% of billed claims</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Molecular labs at upper end</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Ardia Recovery Rate</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50–80% of worked denials</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89% win rate when appealed</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Revenue Per Lab (Yr 1, success fee)</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$40,000–$405,000/year</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Avg. target ~$120K/lab/yr</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Customer Acquisition Cost (PLG)</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$3,500–$8,000</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Includes trial conversion costs</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Cost to Serve (AI infrastructure)</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$8,000–$22,000/lab/year</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Cloud + AI API + support</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Gross Margin (Tier 1, at scale)</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72–78%</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After AI compute and support</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Gross Margin (Tier 2/3, at scale)</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78–84%</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Higher margin on SaaS tier</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CAC Payback Period</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&lt; 3 months</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Based on avg. $120K ARR/lab</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Net Revenue Retention (target Yr 3)</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145%+</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Via tier upsell and lab volume growth</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LTV / CAC Ratio (target)</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&gt;12×</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Industry benchmark: &gt;3× healthy</w:t>
            </w:r>
          </w:p>
        </w:tc>
      </w:tr>
    </w:tbl>
    <w:p>
      <w:pPr>
        <w:pStyle w:val="Heading2"/>
        <w:spacing w:before="320" w:after="120"/>
      </w:pPr>
      <w:r>
        <w:rPr>
          <w:rFonts w:ascii="Arial" w:cs="Arial" w:eastAsia="Arial" w:hAnsi="Arial"/>
          <w:b/>
          <w:bCs/>
          <w:color w:val="0D9488"/>
          <w:sz w:val="28"/>
          <w:szCs w:val="28"/>
        </w:rPr>
        <w:t xml:space="preserve">7.3 PLG Go-to-Market Motion</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go-to-market strategy is built on a product-led growth (PLG) model adapted for healthcare's compliance and procurement constraints. The PLG motion follows a four-stage funnel:</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Awareness &amp; Trial: Lab billing staff and lab directors discover Ardia through targeted LinkedIn content, ADLM/SOFT/NAACOS conference presence, and product-led SEO (toxicology coding guides, LCD lookup tools, denial rate benchmarking tools that naturally lead to Ardia trials). A freemium tier allows lab technicians to process their first 5 denied claims with no commitment.</w:t>
      </w:r>
    </w:p>
    <w:p>
      <w:pPr>
        <w:pStyle w:val="ListParagraph"/>
        <w:numPr>
          <w:ilvl w:val="0"/>
          <w:numId w:val="2"/>
        </w:numPr>
        <w:spacing w:before="40" w:after="80"/>
      </w:pPr>
      <w:r>
        <w:rPr>
          <w:rFonts w:ascii="Arial" w:cs="Arial" w:eastAsia="Arial" w:hAnsi="Arial"/>
          <w:color w:val="1E293B"/>
          <w:sz w:val="22"/>
          <w:szCs w:val="22"/>
        </w:rPr>
        <w:t xml:space="preserve">Activation: Self-serve onboarding with a 30-day pilot using the lab's own historical denial data (de-identified for demo purposes or with BAA in place for live data). Labs see their first recovered revenue within 2–3 weeks. Interactive ROI calculators embedded in the trial show projected annual recovery based on their actual denial volume.</w:t>
      </w:r>
    </w:p>
    <w:p>
      <w:pPr>
        <w:pStyle w:val="ListParagraph"/>
        <w:numPr>
          <w:ilvl w:val="0"/>
          <w:numId w:val="2"/>
        </w:numPr>
        <w:spacing w:before="40" w:after="80"/>
      </w:pPr>
      <w:r>
        <w:rPr>
          <w:rFonts w:ascii="Arial" w:cs="Arial" w:eastAsia="Arial" w:hAnsi="Arial"/>
          <w:color w:val="1E293B"/>
          <w:sz w:val="22"/>
          <w:szCs w:val="22"/>
        </w:rPr>
        <w:t xml:space="preserve">Conversion: Following the 30-day pilot, Ardia's sales-assist layer (a dedicated lab success manager) engages to review pilot results, address procurement questions, execute the BAA, and convert to a Tier 1 success fee agreement. Typical conversion timeline: 4–8 weeks from first trial to signed contract versus 6–18 months for traditional enterprise RCM sales.</w:t>
      </w:r>
    </w:p>
    <w:p>
      <w:pPr>
        <w:pStyle w:val="ListParagraph"/>
        <w:numPr>
          <w:ilvl w:val="0"/>
          <w:numId w:val="2"/>
        </w:numPr>
        <w:spacing w:before="40" w:after="80"/>
      </w:pPr>
      <w:r>
        <w:rPr>
          <w:rFonts w:ascii="Arial" w:cs="Arial" w:eastAsia="Arial" w:hAnsi="Arial"/>
          <w:color w:val="1E293B"/>
          <w:sz w:val="22"/>
          <w:szCs w:val="22"/>
        </w:rPr>
        <w:t xml:space="preserve">Expansion: As labs experience systematic recovery, the natural expansion path is to Tier 2 SaaS for full platform access and eventually to referral of affiliated practices and networks. Labs that participate in ACOs are natural pathways to AcoIQ enterprise contracts.</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8. Go-to-Market Strategy: Phased Geographic Expansion</w:t>
      </w:r>
    </w:p>
    <w:p>
      <w:pPr>
        <w:pStyle w:val="Heading2"/>
        <w:spacing w:before="320" w:after="120"/>
      </w:pPr>
      <w:r>
        <w:rPr>
          <w:rFonts w:ascii="Arial" w:cs="Arial" w:eastAsia="Arial" w:hAnsi="Arial"/>
          <w:b/>
          <w:bCs/>
          <w:color w:val="0D9488"/>
          <w:sz w:val="28"/>
          <w:szCs w:val="28"/>
        </w:rPr>
        <w:t xml:space="preserve">Phase 1: DFW Beachhead (2026)</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initial market focus is the Dallas-Fort Worth metropolitan area and North Texas. This is not merely a convenient headquarters proximity — DFW is home to the specific organizations (HealthTrackRx, Principle Health Systems, BSWQA, SWHR) that represent ideal early adopters: technology-forward, innovation-hungry, and already operating at scale. The DFW Phase 1 target represents a $200–300M addressable revenue pool from lab denial recovery alone.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Key Phase 1 channel strategies include direct outreach to lab directors at the five priority labs identified above, a presence at the ADLM Annual Scientific Meeting (Anaheim, CA, 2026) where 69% of attendees plan to purchase a product within two years, and the SOFT (Society of Forensic Toxicologists) annual conference for toxicology lab outreach. Advisory board recruitment of DFW-based lab directors (MD/PhD) and NAACOS-connected ACO physician leaders will accelerate warm introductions.</w:t>
      </w:r>
    </w:p>
    <w:p>
      <w:pPr>
        <w:pStyle w:val="Heading2"/>
        <w:spacing w:before="320" w:after="120"/>
      </w:pPr>
      <w:r>
        <w:rPr>
          <w:rFonts w:ascii="Arial" w:cs="Arial" w:eastAsia="Arial" w:hAnsi="Arial"/>
          <w:b/>
          <w:bCs/>
          <w:color w:val="0D9488"/>
          <w:sz w:val="28"/>
          <w:szCs w:val="28"/>
        </w:rPr>
        <w:t xml:space="preserve">Phase 2: Texas + Behavioral Health Expansion (2027)</w:t>
      </w:r>
    </w:p>
    <w:p>
      <w:pPr>
        <w:spacing w:before="80" w:after="120" w:line="360" w:lineRule="auto"/>
        <w:jc w:val="both"/>
      </w:pPr>
      <w:r>
        <w:rPr>
          <w:rFonts w:ascii="Arial" w:cs="Arial" w:eastAsia="Arial" w:hAnsi="Arial"/>
          <w:b w:val="false"/>
          <w:bCs w:val="false"/>
          <w:i w:val="false"/>
          <w:iCs w:val="false"/>
          <w:color w:val="1E293B"/>
          <w:sz w:val="22"/>
          <w:szCs w:val="22"/>
        </w:rPr>
        <w:t xml:space="preserve">Phase 2 expands across the Texas independent lab market and adds the behavioral health and addiction medicine vertical. Key targets include BHG (Behavioral Health Group) — the largest Joint Commission-accredited OTP network in the U.S. with 117 locations and 42,000+ patients — and Metrocare Services, serving 50,000+ patients annually as the largest mental health provider in Dallas County. Texas's 58 MSSP ACOs represent the ACO expansion pathway.</w:t>
      </w:r>
    </w:p>
    <w:p>
      <w:pPr>
        <w:pStyle w:val="Heading2"/>
        <w:spacing w:before="320" w:after="120"/>
      </w:pPr>
      <w:r>
        <w:rPr>
          <w:rFonts w:ascii="Arial" w:cs="Arial" w:eastAsia="Arial" w:hAnsi="Arial"/>
          <w:b/>
          <w:bCs/>
          <w:color w:val="0D9488"/>
          <w:sz w:val="28"/>
          <w:szCs w:val="28"/>
        </w:rPr>
        <w:t xml:space="preserve">Phase 3: National Expansion (2028+)</w:t>
      </w:r>
    </w:p>
    <w:p>
      <w:pPr>
        <w:spacing w:before="80" w:after="120" w:line="360" w:lineRule="auto"/>
        <w:jc w:val="both"/>
      </w:pPr>
      <w:r>
        <w:rPr>
          <w:rFonts w:ascii="Arial" w:cs="Arial" w:eastAsia="Arial" w:hAnsi="Arial"/>
          <w:b w:val="false"/>
          <w:bCs w:val="false"/>
          <w:i w:val="false"/>
          <w:iCs w:val="false"/>
          <w:color w:val="1E293B"/>
          <w:sz w:val="22"/>
          <w:szCs w:val="22"/>
        </w:rPr>
        <w:t xml:space="preserve">National expansion follows proven playbook replication in Texas, leveraging the regulatory moat created by SB 1188/TRAIGA compliance (increasingly adopted by other states), reference customers, and enterprise ACO contracts as credentialing for hospital system lab networks, national OTP chains, and PE-backed lab rollup platforms.</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9. Financial Projections</w:t>
      </w:r>
    </w:p>
    <w:p>
      <w:pPr>
        <w:pStyle w:val="Heading2"/>
        <w:spacing w:before="320" w:after="120"/>
      </w:pPr>
      <w:r>
        <w:rPr>
          <w:rFonts w:ascii="Arial" w:cs="Arial" w:eastAsia="Arial" w:hAnsi="Arial"/>
          <w:b/>
          <w:bCs/>
          <w:color w:val="0D9488"/>
          <w:sz w:val="28"/>
          <w:szCs w:val="28"/>
        </w:rPr>
        <w:t xml:space="preserve">9.1 Five-Year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Metric</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2026</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2027</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2028</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2029</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2030</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Paying Labs</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165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340</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ACO Contracts</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12</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Total ARR ($M)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$0.6</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$9.8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$24.5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$51.0</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Success Fee Revenue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$0.4M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$5.2M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$11.5M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$22.0M</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SaaS Revenue</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$0.2M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$3.1M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$8.0M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$17.0M</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ACO Intelligence Revenue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$0.4M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$5.0M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$12.0M</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Gross Margin</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70%</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80%</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EBITDA Margin</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(85%)</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(22%)</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38%</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Headcount</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95</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Cash Burn (cumulative)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($2.8M)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($3.6M)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Key modeling assumptions: 15% success fee on average $240,000 recovered per lab per year (based on a 15% denial rate on $3.2M average billings, 50% recovery rate). 35% annual lab count growth from Year 2 through Year 5, driven primarily by referrals and conference-driven PLG. SaaS conversion at 60% of the lab base by Year 3. ACO Intelligence average contract value of $180,000–$420,000 per year per ACO.</w:t>
      </w:r>
    </w:p>
    <w:p>
      <w:pPr>
        <w:pStyle w:val="Heading2"/>
        <w:spacing w:before="320" w:after="120"/>
      </w:pPr>
      <w:r>
        <w:rPr>
          <w:rFonts w:ascii="Arial" w:cs="Arial" w:eastAsia="Arial" w:hAnsi="Arial"/>
          <w:b/>
          <w:bCs/>
          <w:color w:val="0D9488"/>
          <w:sz w:val="28"/>
          <w:szCs w:val="28"/>
        </w:rPr>
        <w:t xml:space="preserve">9.2 Use of Seed Proceeds ($3.5M)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080"/>
        <w:gridCol w:w="1080"/>
        <w:gridCol w:w="4640"/>
      </w:tblGrid>
      <w:tr>
        <w:trPr>
          <w:tblHeader/>
        </w:trPr>
        <w:tc>
          <w:tcPr>
            <w:tcW w:type="dxa" w:w="25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Category</w:t>
            </w:r>
          </w:p>
        </w:tc>
        <w:tc>
          <w:tcPr>
            <w:tcW w:type="dxa" w:w="10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Allocation</w:t>
            </w:r>
          </w:p>
        </w:tc>
        <w:tc>
          <w:tcPr>
            <w:tcW w:type="dxa" w:w="10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Amount</w:t>
            </w:r>
          </w:p>
        </w:tc>
        <w:tc>
          <w:tcPr>
            <w:tcW w:type="dxa" w:w="46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Key Investments</w:t>
            </w:r>
          </w:p>
        </w:tc>
      </w:tr>
      <w:tr>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Engineering &amp; AI</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40%</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$1.40M</w:t>
            </w:r>
          </w:p>
        </w:tc>
        <w:tc>
          <w:tcPr>
            <w:tcW w:type="dxa" w:w="46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 AI/ML engineers, platform build, FHIR/HL7/EDI integration, security audit</w:t>
            </w:r>
          </w:p>
        </w:tc>
      </w:tr>
      <w:tr>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Sales &amp; GTM</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$0.88M</w:t>
            </w:r>
          </w:p>
        </w:tc>
        <w:tc>
          <w:tcPr>
            <w:tcW w:type="dxa" w:w="46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VP Sales hire, ADLM/SOFT/NAACOS conferences, PLG tooling, CRM, pilot conversion</w:t>
            </w:r>
          </w:p>
        </w:tc>
      </w:tr>
      <w:tr>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Operations &amp; Compliance</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$0.63M</w:t>
            </w:r>
          </w:p>
        </w:tc>
        <w:tc>
          <w:tcPr>
            <w:tcW w:type="dxa" w:w="46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Regulatory counsel, HIPAA BAA, SB 1188, NIST AI RMF program, CLIA integration</w:t>
            </w:r>
          </w:p>
        </w:tc>
      </w:tr>
      <w:tr>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G&amp;A &amp; Legal</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$0.35M</w:t>
            </w:r>
          </w:p>
        </w:tc>
        <w:tc>
          <w:tcPr>
            <w:tcW w:type="dxa" w:w="46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Accounting, fractional CFO, IP strategy, Delaware corp, D&amp;O insurance</w:t>
            </w:r>
          </w:p>
        </w:tc>
      </w:tr>
      <w:tr>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Reserve</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$0.25M</w:t>
            </w:r>
          </w:p>
        </w:tc>
        <w:tc>
          <w:tcPr>
            <w:tcW w:type="dxa" w:w="46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Emergency runway buffer and strategic advisor engagement</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10. Team and Advisors</w:t>
      </w:r>
    </w:p>
    <w:p>
      <w:pPr>
        <w:pStyle w:val="Heading2"/>
        <w:spacing w:before="320" w:after="120"/>
      </w:pPr>
      <w:r>
        <w:rPr>
          <w:rFonts w:ascii="Arial" w:cs="Arial" w:eastAsia="Arial" w:hAnsi="Arial"/>
          <w:b/>
          <w:bCs/>
          <w:color w:val="0D9488"/>
          <w:sz w:val="28"/>
          <w:szCs w:val="28"/>
        </w:rPr>
        <w:t xml:space="preserve">10.1 Founding Team</w:t>
      </w:r>
    </w:p>
    <w:p>
      <w:pPr>
        <w:spacing w:before="80" w:after="120" w:line="360" w:lineRule="auto"/>
        <w:jc w:val="both"/>
      </w:pPr>
      <w:r>
        <w:rPr>
          <w:rFonts w:ascii="Arial" w:cs="Arial" w:eastAsia="Arial" w:hAnsi="Arial"/>
          <w:b w:val="false"/>
          <w:bCs w:val="false"/>
          <w:i w:val="false"/>
          <w:iCs w:val="false"/>
          <w:color w:val="1E293B"/>
          <w:sz w:val="22"/>
          <w:szCs w:val="22"/>
        </w:rPr>
        <w:t xml:space="preserve">Ardia Health is being built by a DFW-based founding team with direct operational experience in laboratory billing, healthcare AI, and Texas regulatory compliance. The company is actively hiring the following roles to complete the founding team:</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Chief Technology Officer: Seeking a 2× exited health tech engineer with LLM/RAG architecture experience and HIPAA-compliant infrastructure design background. Target hire: Q2 2026.</w:t>
      </w:r>
    </w:p>
    <w:p>
      <w:pPr>
        <w:pStyle w:val="ListParagraph"/>
        <w:numPr>
          <w:ilvl w:val="0"/>
          <w:numId w:val="2"/>
        </w:numPr>
        <w:spacing w:before="40" w:after="80"/>
      </w:pPr>
      <w:r>
        <w:rPr>
          <w:rFonts w:ascii="Arial" w:cs="Arial" w:eastAsia="Arial" w:hAnsi="Arial"/>
          <w:color w:val="1E293B"/>
          <w:sz w:val="22"/>
          <w:szCs w:val="22"/>
        </w:rPr>
        <w:t xml:space="preserve">VP Sales: Seeking a healthcare SaaS sales leader with 10+ years of lab and RCM enterprise sales experience, existing DFW lab director relationships, and $3M+ quota carry experience. Target hire: Q2 2026.</w:t>
      </w:r>
    </w:p>
    <w:p>
      <w:pPr>
        <w:pStyle w:val="ListParagraph"/>
        <w:numPr>
          <w:ilvl w:val="0"/>
          <w:numId w:val="2"/>
        </w:numPr>
        <w:spacing w:before="40" w:after="80"/>
      </w:pPr>
      <w:r>
        <w:rPr>
          <w:rFonts w:ascii="Arial" w:cs="Arial" w:eastAsia="Arial" w:hAnsi="Arial"/>
          <w:color w:val="1E293B"/>
          <w:sz w:val="22"/>
          <w:szCs w:val="22"/>
        </w:rPr>
        <w:t xml:space="preserve">Clinical Advisor (MD/PhD): Seeking an active CLIA lab director with molecular diagnostics expertise and ACO physician leadership background, ideally with UTSW or BSWQA affiliation. Target: concurrent with Series A preparation.</w:t>
      </w:r>
    </w:p>
    <w:p>
      <w:pPr>
        <w:pStyle w:val="Heading2"/>
        <w:spacing w:before="320" w:after="120"/>
      </w:pPr>
      <w:r>
        <w:rPr>
          <w:rFonts w:ascii="Arial" w:cs="Arial" w:eastAsia="Arial" w:hAnsi="Arial"/>
          <w:b/>
          <w:bCs/>
          <w:color w:val="0D9488"/>
          <w:sz w:val="28"/>
          <w:szCs w:val="28"/>
        </w:rPr>
        <w:t xml:space="preserve">10.2 Advisory Board Targets</w:t>
      </w:r>
    </w:p>
    <w:p>
      <w:pPr>
        <w:spacing w:before="80" w:after="120" w:line="360" w:lineRule="auto"/>
        <w:jc w:val="both"/>
      </w:pPr>
      <w:r>
        <w:rPr>
          <w:rFonts w:ascii="Arial" w:cs="Arial" w:eastAsia="Arial" w:hAnsi="Arial"/>
          <w:b w:val="false"/>
          <w:bCs w:val="false"/>
          <w:i w:val="false"/>
          <w:iCs w:val="false"/>
          <w:color w:val="1E293B"/>
          <w:sz w:val="22"/>
          <w:szCs w:val="22"/>
        </w:rPr>
        <w:t xml:space="preserve">Ardia is actively recruiting advisors in the following domains: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Healthcare AI VC Partner: For fundraising strategy, institutional investor introductions, and Series A preparation. Target firms: Oak HC/FT, General Catalyst, a16z Bio+Health, 8VC.</w:t>
      </w:r>
    </w:p>
    <w:p>
      <w:pPr>
        <w:pStyle w:val="ListParagraph"/>
        <w:numPr>
          <w:ilvl w:val="0"/>
          <w:numId w:val="2"/>
        </w:numPr>
        <w:spacing w:before="40" w:after="80"/>
      </w:pPr>
      <w:r>
        <w:rPr>
          <w:rFonts w:ascii="Arial" w:cs="Arial" w:eastAsia="Arial" w:hAnsi="Arial"/>
          <w:color w:val="1E293B"/>
          <w:sz w:val="22"/>
          <w:szCs w:val="22"/>
        </w:rPr>
        <w:t xml:space="preserve">NAACOS / ADLM Network Lead: For ACO executive introductions and lab director conference relationships.</w:t>
      </w:r>
    </w:p>
    <w:p>
      <w:pPr>
        <w:pStyle w:val="ListParagraph"/>
        <w:numPr>
          <w:ilvl w:val="0"/>
          <w:numId w:val="2"/>
        </w:numPr>
        <w:spacing w:before="40" w:after="80"/>
      </w:pPr>
      <w:r>
        <w:rPr>
          <w:rFonts w:ascii="Arial" w:cs="Arial" w:eastAsia="Arial" w:hAnsi="Arial"/>
          <w:color w:val="1E293B"/>
          <w:sz w:val="22"/>
          <w:szCs w:val="22"/>
        </w:rPr>
        <w:t xml:space="preserve">Texas Healthcare Attorney: For SB 1188/TRAIGA compliance review and ongoing regulatory monitoring.</w:t>
      </w:r>
    </w:p>
    <w:p>
      <w:pPr>
        <w:pStyle w:val="ListParagraph"/>
        <w:numPr>
          <w:ilvl w:val="0"/>
          <w:numId w:val="2"/>
        </w:numPr>
        <w:spacing w:before="40" w:after="80"/>
      </w:pPr>
      <w:r>
        <w:rPr>
          <w:rFonts w:ascii="Arial" w:cs="Arial" w:eastAsia="Arial" w:hAnsi="Arial"/>
          <w:color w:val="1E293B"/>
          <w:sz w:val="22"/>
          <w:szCs w:val="22"/>
        </w:rPr>
        <w:t xml:space="preserve">DFW Accelerator Connection: Health Wildcatters or Techstars Physical Health Fort Worth for local ecosystem access and demo day exposure.</w:t>
      </w:r>
    </w:p>
    <w:p>
      <w:pPr>
        <w:pStyle w:val="Heading1"/>
        <w:pBdr>
          <w:bottom w:val="single" w:color="0D9488" w:sz="8" w:space="4"/>
        </w:pBdr>
        <w:spacing w:before="480" w:after="160"/>
      </w:pPr>
      <w:r>
        <w:rPr>
          <w:rFonts w:ascii="Arial" w:cs="Arial" w:eastAsia="Arial" w:hAnsi="Arial"/>
          <w:b/>
          <w:bCs/>
          <w:color w:val="0A1628"/>
          <w:sz w:val="36"/>
          <w:szCs w:val="36"/>
        </w:rPr>
        <w:t xml:space="preserve">11. Risk Analysis</w:t>
      </w:r>
    </w:p>
    <w:p>
      <w:pPr>
        <w:pStyle w:val="Heading2"/>
        <w:spacing w:before="320" w:after="120"/>
      </w:pPr>
      <w:r>
        <w:rPr>
          <w:rFonts w:ascii="Arial" w:cs="Arial" w:eastAsia="Arial" w:hAnsi="Arial"/>
          <w:b/>
          <w:bCs/>
          <w:color w:val="0D9488"/>
          <w:sz w:val="28"/>
          <w:szCs w:val="28"/>
        </w:rPr>
        <w:t xml:space="preserve">11.1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80"/>
        <w:gridCol w:w="1000"/>
        <w:gridCol w:w="5180"/>
      </w:tblGrid>
      <w:tr>
        <w:trPr>
          <w:tblHeader/>
        </w:trPr>
        <w:tc>
          <w:tcPr>
            <w:tcW w:type="dxa" w:w="21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Risk</w:t>
            </w:r>
          </w:p>
        </w:tc>
        <w:tc>
          <w:tcPr>
            <w:tcW w:type="dxa" w:w="10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Probability</w:t>
            </w:r>
          </w:p>
        </w:tc>
        <w:tc>
          <w:tcPr>
            <w:tcW w:type="dxa" w:w="1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Impact</w:t>
            </w:r>
          </w:p>
        </w:tc>
        <w:tc>
          <w:tcPr>
            <w:tcW w:type="dxa" w:w="51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Mitigation</w:t>
            </w:r>
          </w:p>
        </w:tc>
      </w:tr>
      <w:tr>
        <w:tc>
          <w:tcPr>
            <w:tcW w:type="dxa" w:w="21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PAMA cuts delayed again (Congressional moratorium extended)</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w:t>
            </w:r>
          </w:p>
        </w:tc>
        <w:tc>
          <w:tcPr>
            <w:tcW w:type="dxa" w:w="1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 — reduces lab urgency to adopt</w:t>
            </w:r>
          </w:p>
        </w:tc>
        <w:tc>
          <w:tcPr>
            <w:tcW w:type="dxa" w:w="51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Platform value proposition independent of PAMA; ACO and commercial payer denials unaffected</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Payer AI denial engines become unchallengeable</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Low</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reduces appeal win rates</w:t>
            </w:r>
          </w:p>
        </w:tc>
        <w:tc>
          <w:tcPr>
            <w:tcW w:type="dxa" w:w="51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Continuous model retraining on adjudication outcomes; focus on documentation prevention vs. appeal</w:t>
            </w:r>
          </w:p>
        </w:tc>
      </w:tr>
      <w:tr>
        <w:tc>
          <w:tcPr>
            <w:tcW w:type="dxa" w:w="21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Hospital-focused RCM players pivot to labs (competitive entry)</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w:t>
            </w:r>
          </w:p>
        </w:tc>
        <w:tc>
          <w:tcPr>
            <w:tcW w:type="dxa" w:w="1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increases competition</w:t>
            </w:r>
          </w:p>
        </w:tc>
        <w:tc>
          <w:tcPr>
            <w:tcW w:type="dxa" w:w="51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18–24 month head start; deep lab domain expertise and TX regulatory compliance as moat</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Data security breach / HIPAA incident</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Low</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Very high — existential threat</w:t>
            </w:r>
          </w:p>
        </w:tc>
        <w:tc>
          <w:tcPr>
            <w:tcW w:type="dxa" w:w="51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AES-256, US-only AWS, RBAC, annual SOC2 audit, cyber insurance; BAA framework</w:t>
            </w:r>
          </w:p>
        </w:tc>
      </w:tr>
      <w:tr>
        <w:tc>
          <w:tcPr>
            <w:tcW w:type="dxa" w:w="21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Key hire failure (CTO / VP Sales)</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w:t>
            </w:r>
          </w:p>
        </w:tc>
        <w:tc>
          <w:tcPr>
            <w:tcW w:type="dxa" w:w="1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delays MVP by 6+ months</w:t>
            </w:r>
          </w:p>
        </w:tc>
        <w:tc>
          <w:tcPr>
            <w:tcW w:type="dxa" w:w="51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Parallel recruitment tracks; fractional CTO bridge; advisor network for interim support</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Series A bridge if milestones slip</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Low-Medium</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requires bridge round</w:t>
            </w:r>
          </w:p>
        </w:tc>
        <w:tc>
          <w:tcPr>
            <w:tcW w:type="dxa" w:w="51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$250K reserve; convertible note bridge option; milestone buffer built into projections</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12. The Investment Case</w:t>
      </w:r>
    </w:p>
    <w:p>
      <w:pPr>
        <w:pStyle w:val="Heading2"/>
        <w:spacing w:before="320" w:after="120"/>
      </w:pPr>
      <w:r>
        <w:rPr>
          <w:rFonts w:ascii="Arial" w:cs="Arial" w:eastAsia="Arial" w:hAnsi="Arial"/>
          <w:b/>
          <w:bCs/>
          <w:color w:val="0D9488"/>
          <w:sz w:val="28"/>
          <w:szCs w:val="28"/>
        </w:rPr>
        <w:t xml:space="preserve">12.1 Why Invest in Ardia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Category-defining white space: </w:t>
            </w:r>
            <w:r>
              <w:rPr>
                <w:rFonts w:ascii="Arial" w:cs="Arial" w:eastAsia="Arial" w:hAnsi="Arial"/>
                <w:color w:val="475569"/>
                <w:sz w:val="22"/>
                <w:szCs w:val="22"/>
              </w:rPr>
              <w:t xml:space="preserve">No AI-native platform serves independent labs. Every major competitor targets hospitals. Ardia is building the category from scratch in a $70B market.</w:t>
            </w:r>
          </w:p>
          <w:p>
            <w:pPr>
              <w:spacing w:before="60" w:after="60"/>
            </w:pPr>
            <w:r>
              <w:rPr>
                <w:rFonts w:ascii="Arial" w:cs="Arial" w:eastAsia="Arial" w:hAnsi="Arial"/>
                <w:b/>
                <w:bCs/>
                <w:color w:val="0A1628"/>
                <w:sz w:val="22"/>
                <w:szCs w:val="22"/>
              </w:rPr>
              <w:t xml:space="preserve">Precision medicine tailwind: </w:t>
            </w:r>
            <w:r>
              <w:rPr>
                <w:rFonts w:ascii="Arial" w:cs="Arial" w:eastAsia="Arial" w:hAnsi="Arial"/>
                <w:color w:val="475569"/>
                <w:sz w:val="22"/>
                <w:szCs w:val="22"/>
              </w:rPr>
              <w:t xml:space="preserve">The $100–120B precision medicine market (growing to $250B by 2030) is creating surging test volumes — but only 46% of PGx claims are reimbursed and molecular diagnostics face a 35.3% denial rate. Ardia's MolecuIQ module captures this expanding revenue category.</w:t>
            </w:r>
          </w:p>
          <w:p>
            <w:pPr>
              <w:spacing w:before="60" w:after="60"/>
            </w:pPr>
            <w:r>
              <w:rPr>
                <w:rFonts w:ascii="Arial" w:cs="Arial" w:eastAsia="Arial" w:hAnsi="Arial"/>
                <w:b/>
                <w:bCs/>
                <w:color w:val="0A1628"/>
                <w:sz w:val="22"/>
                <w:szCs w:val="22"/>
              </w:rPr>
              <w:t xml:space="preserve">Structural tailwinds: </w:t>
            </w:r>
            <w:r>
              <w:rPr>
                <w:rFonts w:ascii="Arial" w:cs="Arial" w:eastAsia="Arial" w:hAnsi="Arial"/>
                <w:color w:val="475569"/>
                <w:sz w:val="22"/>
                <w:szCs w:val="22"/>
              </w:rPr>
              <w:t xml:space="preserve">PAMA 2027, payer AI denial growth, Texas regulatory moat, MolDx commercial expansion, Texas SB 989 biomarker mandate, and healthcare AI VC premium (83% per-round premium vs. non-AI health tech) all converge in 2026.</w:t>
            </w:r>
          </w:p>
          <w:p>
            <w:pPr>
              <w:spacing w:before="60" w:after="60"/>
            </w:pPr>
            <w:r>
              <w:rPr>
                <w:rFonts w:ascii="Arial" w:cs="Arial" w:eastAsia="Arial" w:hAnsi="Arial"/>
                <w:b/>
                <w:bCs/>
                <w:color w:val="0A1628"/>
                <w:sz w:val="22"/>
                <w:szCs w:val="22"/>
              </w:rPr>
              <w:t xml:space="preserve">Risk-free GTM: </w:t>
            </w:r>
            <w:r>
              <w:rPr>
                <w:rFonts w:ascii="Arial" w:cs="Arial" w:eastAsia="Arial" w:hAnsi="Arial"/>
                <w:color w:val="475569"/>
                <w:sz w:val="22"/>
                <w:szCs w:val="22"/>
              </w:rPr>
              <w:t xml:space="preserve">15% success fee model — labs pay only when Ardia recovers money. Zero procurement friction enables rapid adoption without enterprise sales cycle timelines.</w:t>
            </w:r>
          </w:p>
          <w:p>
            <w:pPr>
              <w:spacing w:before="60" w:after="60"/>
            </w:pPr>
            <w:r>
              <w:rPr>
                <w:rFonts w:ascii="Arial" w:cs="Arial" w:eastAsia="Arial" w:hAnsi="Arial"/>
                <w:b/>
                <w:bCs/>
                <w:color w:val="0A1628"/>
                <w:sz w:val="22"/>
                <w:szCs w:val="22"/>
              </w:rPr>
              <w:t xml:space="preserve">Texas first-mover compliance: </w:t>
            </w:r>
            <w:r>
              <w:rPr>
                <w:rFonts w:ascii="Arial" w:cs="Arial" w:eastAsia="Arial" w:hAnsi="Arial"/>
                <w:color w:val="475569"/>
                <w:sz w:val="22"/>
                <w:szCs w:val="22"/>
              </w:rPr>
              <w:t xml:space="preserve">SB 1188 + TRAIGA compliance built natively creates structural barriers for late entrants who must pay to retrofit compliance into existing architectures.</w:t>
            </w:r>
          </w:p>
          <w:p>
            <w:pPr>
              <w:spacing w:before="60" w:after="60"/>
            </w:pPr>
            <w:r>
              <w:rPr>
                <w:rFonts w:ascii="Arial" w:cs="Arial" w:eastAsia="Arial" w:hAnsi="Arial"/>
                <w:b/>
                <w:bCs/>
                <w:color w:val="0A1628"/>
                <w:sz w:val="22"/>
                <w:szCs w:val="22"/>
              </w:rPr>
              <w:t xml:space="preserve">Validated exit market: </w:t>
            </w:r>
            <w:r>
              <w:rPr>
                <w:rFonts w:ascii="Arial" w:cs="Arial" w:eastAsia="Arial" w:hAnsi="Arial"/>
                <w:color w:val="475569"/>
                <w:sz w:val="22"/>
                <w:szCs w:val="22"/>
              </w:rPr>
              <w:t xml:space="preserve">R1 RCM $8.9B buyout, Waystar $3.5B IPO, AKASA $205M funding. Strategic acquirers (Oracle Health, Epic, Quest Diagnostics, Lab Corp) have the motive, means, and precedent for lab-specific RCM acquisitions.</w:t>
            </w:r>
          </w:p>
        </w:tc>
      </w:tr>
    </w:tbl>
    <w:p>
      <w:pPr>
        <w:pStyle w:val="Heading2"/>
        <w:spacing w:before="320" w:after="120"/>
      </w:pPr>
      <w:r>
        <w:rPr>
          <w:rFonts w:ascii="Arial" w:cs="Arial" w:eastAsia="Arial" w:hAnsi="Arial"/>
          <w:b/>
          <w:bCs/>
          <w:color w:val="0D9488"/>
          <w:sz w:val="28"/>
          <w:szCs w:val="28"/>
        </w:rPr>
        <w:t xml:space="preserve">12.2 Target Investor Profile</w:t>
      </w:r>
    </w:p>
    <w:p>
      <w:pPr>
        <w:spacing w:before="80" w:after="120" w:line="360" w:lineRule="auto"/>
        <w:jc w:val="both"/>
      </w:pPr>
      <w:r>
        <w:rPr>
          <w:rFonts w:ascii="Arial" w:cs="Arial" w:eastAsia="Arial" w:hAnsi="Arial"/>
          <w:b w:val="false"/>
          <w:bCs w:val="false"/>
          <w:i w:val="false"/>
          <w:iCs w:val="false"/>
          <w:color w:val="1E293B"/>
          <w:sz w:val="22"/>
          <w:szCs w:val="22"/>
        </w:rPr>
        <w:t xml:space="preserve">Ardia is raising this seed round from a focused group of investors with deep healthcare technology expertise. The ideal co-investors include:</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Healthcare-Focused VCs: Oak HC/FT (healthcare growth equity), General Catalyst ($8B fund, $750M Health Assurance platform), a16z Bio+Health, Bessemer Venture Partners (health tech track record), 8VC ($998M Fund VI, healthcare portfolio).</w:t>
      </w:r>
    </w:p>
    <w:p>
      <w:pPr>
        <w:pStyle w:val="ListParagraph"/>
        <w:numPr>
          <w:ilvl w:val="0"/>
          <w:numId w:val="2"/>
        </w:numPr>
        <w:spacing w:before="40" w:after="80"/>
      </w:pPr>
      <w:r>
        <w:rPr>
          <w:rFonts w:ascii="Arial" w:cs="Arial" w:eastAsia="Arial" w:hAnsi="Arial"/>
          <w:color w:val="1E293B"/>
          <w:sz w:val="22"/>
          <w:szCs w:val="22"/>
        </w:rPr>
        <w:t xml:space="preserve">Texas-Based Angels and Family Offices: DFW healthcare operators, lab executives, and physicians who understand the market firsthand and can provide warm introductions to Phase 1 targets.</w:t>
      </w:r>
    </w:p>
    <w:p>
      <w:pPr>
        <w:pStyle w:val="ListParagraph"/>
        <w:numPr>
          <w:ilvl w:val="0"/>
          <w:numId w:val="2"/>
        </w:numPr>
        <w:spacing w:before="40" w:after="80"/>
      </w:pPr>
      <w:r>
        <w:rPr>
          <w:rFonts w:ascii="Arial" w:cs="Arial" w:eastAsia="Arial" w:hAnsi="Arial"/>
          <w:color w:val="1E293B"/>
          <w:sz w:val="22"/>
          <w:szCs w:val="22"/>
        </w:rPr>
        <w:t xml:space="preserve">Strategic Angles: Healthcare AI accelerators (Health Wildcatters, Techstars Physical Health Fort Worth), revenue cycle industry executives, and former lab company executives.</w:t>
      </w:r>
    </w:p>
    <w:p>
      <w:pPr>
        <w:pStyle w:val="Heading2"/>
        <w:spacing w:before="320" w:after="120"/>
      </w:pPr>
      <w:r>
        <w:rPr>
          <w:rFonts w:ascii="Arial" w:cs="Arial" w:eastAsia="Arial" w:hAnsi="Arial"/>
          <w:b/>
          <w:bCs/>
          <w:color w:val="0D9488"/>
          <w:sz w:val="28"/>
          <w:szCs w:val="28"/>
        </w:rPr>
        <w:t xml:space="preserve">12.3 Terms and Contact</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Term</w:t>
            </w:r>
          </w:p>
        </w:tc>
        <w:tc>
          <w:tcPr>
            <w:tcW w:type="dxa" w:w="63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Detail</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Instrument</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SAFE (Simple Agreement for Future Equity)</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Raise Amount</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$3.5M</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Post-Money Valuation Cap</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$18M</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Minimum Check Size</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$250,000</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Anticipated Close</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Q2 2026</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Lead Investor Status</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Open — seeking a lead with healthcare AI experience</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Company Domicile</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Delaware LLC, DFW headquarters (Argyle, TX 76226)</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Contact</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founders@ardiahealthlabs.com</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Website</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ardiahealthlabs.com</w:t>
            </w:r>
          </w:p>
        </w:tc>
      </w:tr>
    </w:tbl>
    <w:p>
      <w:pPr>
        <w:spacing w:before="0" w:after="24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iCs/>
          <w:color w:val="1E293B"/>
          <w:sz w:val="22"/>
          <w:szCs w:val="22"/>
        </w:rPr>
        <w:t xml:space="preserve">Ardia Health is building the infrastructure for a generation of independent labs that refuse to accept that the revenue they earned from testing patients must be surrendered to payer AI denial engines. The platform we are building will be the reason thousands of labs stay financially viable through PAMA 2027 and beyond — and the reason their patients continue to have access to the diagnostic testing that keeps them healthy.</w:t>
      </w:r>
    </w:p>
    <w:p>
      <w:pPr>
        <w:spacing w:before="0" w:after="240"/>
      </w:pPr>
      <w:r>
        <w:rPr>
          <w:rFonts w:ascii="Arial" w:cs="Arial" w:eastAsia="Arial" w:hAnsi="Arial"/>
          <w:sz w:val="22"/>
          <w:szCs w:val="22"/>
        </w:rPr>
        <w:t xml:space="preserve"/>
      </w:r>
    </w:p>
    <w:p>
      <w:pPr>
        <w:spacing w:before="0" w:after="80"/>
        <w:jc w:val="center"/>
      </w:pPr>
      <w:r>
        <w:rPr>
          <w:rFonts w:ascii="Arial" w:cs="Arial" w:eastAsia="Arial" w:hAnsi="Arial"/>
          <w:b/>
          <w:bCs/>
          <w:i/>
          <w:iCs/>
          <w:color w:val="0D9488"/>
          <w:sz w:val="22"/>
          <w:szCs w:val="22"/>
        </w:rPr>
        <w:t xml:space="preserve">— The Ardia Health Founding Team</w:t>
      </w:r>
    </w:p>
    <w:p>
      <w:pPr>
        <w:spacing w:before="0" w:after="80"/>
        <w:jc w:val="center"/>
      </w:pPr>
      <w:r>
        <w:rPr>
          <w:rFonts w:ascii="Arial" w:cs="Arial" w:eastAsia="Arial" w:hAnsi="Arial"/>
          <w:color w:val="475569"/>
          <w:sz w:val="20"/>
          <w:szCs w:val="20"/>
        </w:rPr>
        <w:t xml:space="preserve">founders@ardiahealthlabs.com  |  ardiahealthlabs.com</w:t>
      </w:r>
    </w:p>
    <w:p>
      <w:pPr>
        <w:spacing w:before="0" w:after="0"/>
        <w:jc w:val="center"/>
      </w:pPr>
      <w:r>
        <w:rPr>
          <w:rFonts w:ascii="Arial" w:cs="Arial" w:eastAsia="Arial" w:hAnsi="Arial"/>
          <w:color w:val="475569"/>
          <w:sz w:val="20"/>
          <w:szCs w:val="20"/>
        </w:rPr>
        <w:t xml:space="preserve">Dallas–Fort Worth, Texas  |  March 2026</w:t>
      </w:r>
    </w:p>
    <w:p>
      <w:pPr>
        <w:pBdr>
          <w:bottom w:val="single" w:color="CBD5E1" w:sz="4" w:space="2"/>
        </w:pBdr>
        <w:spacing w:before="240" w:after="240"/>
      </w:pPr>
      <w:r>
        <w:rPr>
          <w:rFonts w:ascii="Arial" w:cs="Arial" w:eastAsia="Arial" w:hAnsi="Arial"/>
          <w:sz w:val="4"/>
          <w:szCs w:val="4"/>
        </w:rPr>
        <w:t xml:space="preserve"/>
      </w:r>
    </w:p>
    <w:p>
      <w:pPr>
        <w:spacing w:before="160" w:after="80"/>
        <w:jc w:val="center"/>
      </w:pPr>
      <w:r>
        <w:rPr>
          <w:rFonts w:ascii="Arial" w:cs="Arial" w:eastAsia="Arial" w:hAnsi="Arial"/>
          <w:b/>
          <w:bCs/>
          <w:color w:val="475569"/>
          <w:sz w:val="18"/>
          <w:szCs w:val="18"/>
        </w:rPr>
        <w:t xml:space="preserve">DISCLAIMER</w:t>
      </w:r>
    </w:p>
    <w:p>
      <w:pPr>
        <w:spacing w:before="80" w:after="120" w:line="360" w:lineRule="auto"/>
        <w:jc w:val="both"/>
      </w:pPr>
      <w:r>
        <w:rPr>
          <w:rFonts w:ascii="Arial" w:cs="Arial" w:eastAsia="Arial" w:hAnsi="Arial"/>
          <w:b w:val="false"/>
          <w:bCs w:val="false"/>
          <w:i/>
          <w:iCs/>
          <w:color w:val="475569"/>
          <w:sz w:val="22"/>
          <w:szCs w:val="22"/>
        </w:rPr>
        <w:t xml:space="preserve">This document contains forward-looking statements and financial projections. These projections are estimates only and are not guarantees of future performance. This white paper and business plan is intended solely for accredited investors as defined under SEC Rule 501 of Regulation D. Distribution, reproduction, or disclosure of any part of this document without the written consent of Ardia Health is prohibited. This document does not constitute an offer to sell or a solicitation of an offer to buy any security.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tabs>
        <w:tab w:val="right" w:pos="9026"/>
      </w:tabs>
      <w:spacing w:before="120" w:after="0"/>
    </w:pPr>
    <w:r>
      <w:rPr>
        <w:rFonts w:ascii="Arial" w:cs="Arial" w:eastAsia="Arial" w:hAnsi="Arial"/>
        <w:color w:val="475569"/>
        <w:sz w:val="16"/>
        <w:szCs w:val="16"/>
      </w:rPr>
      <w:t xml:space="preserve">Ardia Health  |  ardiahealthlabs.com  |  founders@ardiahealthlabs.com</w:t>
    </w:r>
    <w:r>
      <w:rPr>
        <w:rFonts w:ascii="Arial" w:cs="Arial" w:eastAsia="Arial" w:hAnsi="Arial"/>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r>
    <w:r>
      <w:rPr>
        <w:rFonts w:ascii="Arial" w:cs="Arial" w:eastAsia="Arial" w:hAnsi="Arial"/>
        <w:color w:val="475569"/>
        <w:sz w:val="16"/>
        <w:szCs w:val="16"/>
      </w:rPr>
      <w:instrText xml:space="preserve"> PAGE </w:instrText>
    </w:r>
    <w:r>
      <w:rPr>
        <w:rFonts w:ascii="Arial" w:cs="Arial" w:eastAsia="Arial" w:hAnsi="Arial"/>
        <w:color w:val="475569"/>
        <w:sz w:val="16"/>
        <w:szCs w:val="16"/>
      </w:rPr>
      <w:fldChar w:fldCharType="separate"/>
    </w:r>
    <w:r>
      <w:rPr>
        <w:rFonts w:ascii="Arial" w:cs="Arial" w:eastAsia="Arial" w:hAnsi="Arial"/>
        <w:color w:val="475569"/>
        <w:sz w:val="16"/>
        <w:szCs w:val="16"/>
      </w:rPr>
      <w:t>1</w:t>
    </w:r>
    <w:r>
      <w:rPr>
        <w:rFonts w:ascii="Arial" w:cs="Arial" w:eastAsia="Arial" w:hAnsi="Arial"/>
        <w:color w:val="47556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2"/>
      </w:pBdr>
      <w:tabs>
        <w:tab w:val="right" w:pos="9026"/>
      </w:tabs>
      <w:spacing w:before="0" w:after="120"/>
    </w:pPr>
    <w:r>
      <w:rPr>
        <w:rFonts w:ascii="Arial" w:cs="Arial" w:eastAsia="Arial" w:hAnsi="Arial"/>
        <w:b/>
        <w:bCs/>
        <w:color w:val="0D9488"/>
        <w:sz w:val="18"/>
        <w:szCs w:val="18"/>
      </w:rPr>
      <w:t xml:space="preserve">Ardia Health</w:t>
    </w:r>
    <w:r>
      <w:rPr>
        <w:rFonts w:ascii="Arial" w:cs="Arial" w:eastAsia="Arial" w:hAnsi="Arial"/>
        <w:sz w:val="18"/>
        <w:szCs w:val="18"/>
      </w:rPr>
      <w:t xml:space="preserve">	</w:t>
    </w:r>
    <w:r>
      <w:rPr>
        <w:rFonts w:ascii="Arial" w:cs="Arial" w:eastAsia="Arial" w:hAnsi="Arial"/>
        <w:i/>
        <w:iCs/>
        <w:color w:val="475569"/>
        <w:sz w:val="16"/>
        <w:szCs w:val="16"/>
      </w:rPr>
      <w:t xml:space="preserve">CONFIDENTIAL — FOR ACCREDITED INVESTORS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948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2026-03-16T02:00:43.437Z</dcterms:created>
  <dcterms:modified xsi:type="dcterms:W3CDTF">2026-03-16T02:00:43.438Z</dcterms:modified>
</cp:coreProperties>
</file>

<file path=docProps/custom.xml><?xml version="1.0" encoding="utf-8"?>
<Properties xmlns="http://schemas.openxmlformats.org/officeDocument/2006/custom-properties" xmlns:vt="http://schemas.openxmlformats.org/officeDocument/2006/docPropsVTypes"/>
</file>