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6e2dbd73e5f08db9c43863098ba80ce3095163"/>
    <w:p>
      <w:pPr>
        <w:pStyle w:val="Heading1"/>
      </w:pPr>
      <w:r>
        <w:t xml:space="preserve">Manasa Jampani — EB-2 NIW (National Interest Waiver) Petition</w:t>
      </w:r>
    </w:p>
    <w:p>
      <w:pPr>
        <w:pStyle w:val="FirstParagraph"/>
      </w:pPr>
      <w:r>
        <w:rPr>
          <w:bCs/>
          <w:b/>
        </w:rPr>
        <w:t xml:space="preserve">Petitioner:</w:t>
      </w:r>
      <w:r>
        <w:t xml:space="preserve"> </w:t>
      </w:r>
      <w:r>
        <w:t xml:space="preserve">Manasa Jampani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EB-2 NIW (National Interest Waiver — Dhanasar Framework)</w:t>
      </w:r>
      <w:r>
        <w:br/>
      </w:r>
      <w:r>
        <w:rPr>
          <w:bCs/>
          <w:b/>
        </w:rPr>
        <w:t xml:space="preserve">Company:</w:t>
      </w:r>
      <w:r>
        <w:t xml:space="preserve"> </w:t>
      </w:r>
      <w:r>
        <w:t xml:space="preserve">Ardia Health Labs (Argyle, TX 76226)</w:t>
      </w:r>
      <w:r>
        <w:br/>
      </w:r>
      <w:r>
        <w:rPr>
          <w:bCs/>
          <w:b/>
        </w:rPr>
        <w:t xml:space="preserve">Date Prepared: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20" w:name="about-manasa-jampani"/>
    <w:p>
      <w:pPr>
        <w:pStyle w:val="Heading2"/>
      </w:pPr>
      <w:r>
        <w:t xml:space="preserve">About Manasa Jampani</w:t>
      </w:r>
    </w:p>
    <w:p>
      <w:pPr>
        <w:pStyle w:val="FirstParagraph"/>
      </w:pPr>
      <w:r>
        <w:t xml:space="preserve">Manasa Jampani is the Co-Founder &amp; CEO of Ardia Health Labs. She brings a unique combination of payer-side insider knowledge and startup leadership that is irreplaceable for the company’s mission. Having worked inside payer and payer-adjacent organizations, she has direct operational knowledge of how payer clinical operations teams configure AI denial systems — the very systems that the DGP architecture is designed to defeat.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IT Experience:</w:t>
      </w:r>
      <w:r>
        <w:t xml:space="preserve"> </w:t>
      </w:r>
      <w:r>
        <w:t xml:space="preserve">10+ years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Healthcare IT Experience:</w:t>
      </w:r>
      <w:r>
        <w:t xml:space="preserve"> </w:t>
      </w:r>
      <w:r>
        <w:t xml:space="preserve">5+ years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 Employers:</w:t>
      </w:r>
      <w:r>
        <w:t xml:space="preserve"> </w:t>
      </w:r>
      <w:r>
        <w:t xml:space="preserve">Interwell Health, United HealthGroup, ECFMG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 Expertise:</w:t>
      </w:r>
      <w:r>
        <w:t xml:space="preserve"> </w:t>
      </w:r>
      <w:r>
        <w:t xml:space="preserve">Clinical operations, payer strategy, ACO operations, renal care management, AI background, investor relations, GTM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founders@ardiahealthlabs.com | (469) 499-6435</w:t>
      </w:r>
    </w:p>
    <w:p>
      <w:r>
        <w:pict>
          <v:rect style="width:0;height:1.5pt" o:hralign="center" o:hrstd="t" o:hr="t"/>
        </w:pict>
      </w:r>
    </w:p>
    <w:bookmarkEnd w:id="20"/>
    <w:bookmarkStart w:id="21" w:name="Xc18675fc76456a392c0c09bba930eb58943afbc"/>
    <w:p>
      <w:pPr>
        <w:pStyle w:val="Heading2"/>
      </w:pPr>
      <w:r>
        <w:t xml:space="preserve">EB-2 NIW Assessment — Dhanasar Framework (All 3 Prongs STRONG)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64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Prong 1: Substantial Merit &amp; National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$10–12B problem, 35.3% denial rate, 7,000+ labs 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Prong 2: Well Positioned to Advance the Endeavor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years inside payer clinical ops — knowledge no competitor 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Prong 3: Beneficial to US to Waive Labor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comparable platform; serving rural/underserved communities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NIW Verdict: STRONG CASE</w:t>
      </w:r>
      <w:r>
        <w:t xml:space="preserve"> </w:t>
      </w:r>
      <w:r>
        <w:t xml:space="preserve">— all three Dhanasar prongs satisfied with documented evidence.</w:t>
      </w:r>
    </w:p>
    <w:p>
      <w:r>
        <w:pict>
          <v:rect style="width:0;height:1.5pt" o:hralign="center" o:hrstd="t" o:hr="t"/>
        </w:pict>
      </w:r>
    </w:p>
    <w:bookmarkEnd w:id="21"/>
    <w:bookmarkStart w:id="22" w:name="manasas-unique-competitive-advantage"/>
    <w:p>
      <w:pPr>
        <w:pStyle w:val="Heading2"/>
      </w:pPr>
      <w:r>
        <w:t xml:space="preserve">Manasa’s Unique Competitive Advantage</w:t>
      </w:r>
    </w:p>
    <w:p>
      <w:pPr>
        <w:pStyle w:val="FirstParagraph"/>
      </w:pPr>
      <w:r>
        <w:t xml:space="preserve">No other person developing independent laboratory billing AI has Manasa’s insider knowledge of how payer clinical operations teams configure denial algorithms. This is not a matter of degree — it is a categorical advantage:</w:t>
      </w:r>
    </w:p>
    <w:p>
      <w:pPr>
        <w:numPr>
          <w:ilvl w:val="0"/>
          <w:numId w:val="1002"/>
        </w:numPr>
        <w:pStyle w:val="Compact"/>
      </w:pPr>
      <w:r>
        <w:t xml:space="preserve">Payer denial systems are NOT publicly documented</w:t>
      </w:r>
    </w:p>
    <w:p>
      <w:pPr>
        <w:numPr>
          <w:ilvl w:val="0"/>
          <w:numId w:val="1002"/>
        </w:numPr>
        <w:pStyle w:val="Compact"/>
      </w:pPr>
      <w:r>
        <w:t xml:space="preserve">Payer AI configuration decisions are proprietary to each payer organization</w:t>
      </w:r>
    </w:p>
    <w:p>
      <w:pPr>
        <w:numPr>
          <w:ilvl w:val="0"/>
          <w:numId w:val="1002"/>
        </w:numPr>
        <w:pStyle w:val="Compact"/>
      </w:pPr>
      <w:r>
        <w:t xml:space="preserve">The only way to understand payer denial logic from the inside is to work inside payer clinical operations — which Manasa did at United HealthGroup and Interwell Health</w:t>
      </w:r>
    </w:p>
    <w:p>
      <w:pPr>
        <w:pStyle w:val="FirstParagraph"/>
      </w:pPr>
      <w:r>
        <w:t xml:space="preserve">This makes her paper (Paper 4:</w:t>
      </w:r>
      <w:r>
        <w:t xml:space="preserve"> </w:t>
      </w:r>
      <w:r>
        <w:t xml:space="preserve">“</w:t>
      </w:r>
      <w:r>
        <w:t xml:space="preserve">Inside the Payer AI Black Box</w:t>
      </w:r>
      <w:r>
        <w:t xml:space="preserve">”</w:t>
      </w:r>
      <w:r>
        <w:t xml:space="preserve">) uniquely publishable in NEJM AI, where no other author could provide this perspective from the same vantage point.</w:t>
      </w:r>
    </w:p>
    <w:p>
      <w:r>
        <w:pict>
          <v:rect style="width:0;height:1.5pt" o:hralign="center" o:hrstd="t" o:hr="t"/>
        </w:pict>
      </w:r>
    </w:p>
    <w:bookmarkEnd w:id="22"/>
    <w:bookmarkStart w:id="27" w:name="contents-of-this-repository"/>
    <w:p>
      <w:pPr>
        <w:pStyle w:val="Heading2"/>
      </w:pPr>
      <w:r>
        <w:t xml:space="preserve">Contents of This Repository</w:t>
      </w:r>
    </w:p>
    <w:bookmarkStart w:id="23" w:name="papers-for-eb-1a-c6-niw-merit-evidence"/>
    <w:p>
      <w:pPr>
        <w:pStyle w:val="Heading3"/>
      </w:pPr>
      <w:r>
        <w:t xml:space="preserve">Papers (for EB-1A C6 / NIW merit evidence)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papers/paper4_payer_ai_insider.md</w:t>
      </w:r>
      <w:r>
        <w:t xml:space="preserve"> </w:t>
      </w:r>
      <w:r>
        <w:t xml:space="preserve">— Manasa’s unique paper (submit to NEJM AI / Health Affairs)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papers/paper2_lab_revenue_crisis.md</w:t>
      </w:r>
      <w:r>
        <w:t xml:space="preserve"> </w:t>
      </w:r>
      <w:r>
        <w:t xml:space="preserve">— Co-authored with Ram (systematic review)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papers/paper3_ai_governance_sb1188.md</w:t>
      </w:r>
      <w:r>
        <w:t xml:space="preserve"> </w:t>
      </w:r>
      <w:r>
        <w:t xml:space="preserve">— Co-authored with Ram (Texas AI governance)</w:t>
      </w:r>
    </w:p>
    <w:bookmarkEnd w:id="23"/>
    <w:bookmarkStart w:id="24" w:name="citations"/>
    <w:p>
      <w:pPr>
        <w:pStyle w:val="Heading3"/>
      </w:pPr>
      <w:r>
        <w:t xml:space="preserve">Citations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citations/reference_library.md</w:t>
      </w:r>
      <w:r>
        <w:t xml:space="preserve"> </w:t>
      </w:r>
      <w:r>
        <w:t xml:space="preserve">— Full citation library (same as Ram’s; shared by both papers)</w:t>
      </w:r>
    </w:p>
    <w:bookmarkEnd w:id="24"/>
    <w:bookmarkStart w:id="25" w:name="visa-evidence"/>
    <w:p>
      <w:pPr>
        <w:pStyle w:val="Heading3"/>
      </w:pPr>
      <w:r>
        <w:t xml:space="preserve">Visa Evidence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visa_evidence/eb2niw_dhanasar_analysis.md</w:t>
      </w:r>
      <w:r>
        <w:t xml:space="preserve"> </w:t>
      </w:r>
      <w:r>
        <w:t xml:space="preserve">— Full three-prong legal argument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visa_evidence/niw_petition_narrative.md</w:t>
      </w:r>
      <w:r>
        <w:t xml:space="preserve"> </w:t>
      </w:r>
      <w:r>
        <w:t xml:space="preserve">— Draft I-140 cover letter / petition narrative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visa_evidence/expert_witness_letter_templates.md</w:t>
      </w:r>
      <w:r>
        <w:t xml:space="preserve"> </w:t>
      </w:r>
      <w:r>
        <w:t xml:space="preserve">— Expert witness letter templates for Manasa</w:t>
      </w:r>
    </w:p>
    <w:bookmarkEnd w:id="25"/>
    <w:bookmarkStart w:id="26" w:name="submission-guides"/>
    <w:p>
      <w:pPr>
        <w:pStyle w:val="Heading3"/>
      </w:pPr>
      <w:r>
        <w:t xml:space="preserve">Submission Guides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submission_guides/nejm_ai_submission_guide.md</w:t>
      </w:r>
      <w:r>
        <w:t xml:space="preserve"> </w:t>
      </w:r>
      <w:r>
        <w:t xml:space="preserve">— NEJM AI + Health Affairs submission guide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iority-action-timeline"/>
    <w:p>
      <w:pPr>
        <w:pStyle w:val="Heading2"/>
      </w:pPr>
      <w:r>
        <w:t xml:space="preserve">Priority Action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Paper 4 abstract; email NEJM AI with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publication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2 LinkedIn long-form articles on payer AI + ACO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material for NIW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Paper 4 to medRxiv (preprint) for immediate publication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Prong 2 + merit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Paper 2 (co-authored with Ram) to arXiv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publication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AMIA + HIMSS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pilot results at HealthTrackRx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NIW Prong 2 evidence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2026-07-01T05:20:21Z</dcterms:created>
  <dcterms:modified xsi:type="dcterms:W3CDTF">2026-07-01T05:20:21Z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