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xpert-witness-letter-templates"/>
    <w:p>
      <w:pPr>
        <w:pStyle w:val="Heading1"/>
      </w:pPr>
      <w:r>
        <w:t xml:space="preserve">Expert Witness Letter Templates</w:t>
      </w:r>
    </w:p>
    <w:bookmarkStart w:id="20" w:name="manasa-jampani-eb-2-niw-petition"/>
    <w:p>
      <w:pPr>
        <w:pStyle w:val="Heading2"/>
      </w:pPr>
      <w:r>
        <w:t xml:space="preserve">Manasa Jampani — EB-2 NIW Petition</w:t>
      </w:r>
    </w:p>
    <w:p>
      <w:pPr>
        <w:pStyle w:val="FirstParagraph"/>
      </w:pPr>
      <w:r>
        <w:t xml:space="preserve">These templates are for expert witness letters supporting Manasa’s EB-2 NIW petition.</w:t>
      </w:r>
      <w:r>
        <w:br/>
      </w:r>
      <w:r>
        <w:t xml:space="preserve">Customize each letter for the specific expert’s credentials and relationship to Manasa’s work.</w:t>
      </w:r>
    </w:p>
    <w:p>
      <w:r>
        <w:pict>
          <v:rect style="width:0;height:1.5pt" o:hralign="center" o:hrstd="t" o:hr="t"/>
        </w:pict>
      </w:r>
    </w:p>
    <w:bookmarkEnd w:id="20"/>
    <w:bookmarkStart w:id="21" w:name="Xfdcff5ab6aadda155a323e08e3676118acde0d1"/>
    <w:p>
      <w:pPr>
        <w:pStyle w:val="Heading2"/>
      </w:pPr>
      <w:r>
        <w:t xml:space="preserve">Template 1 — Healthcare AI / Clinical Informatics Expert (Academic)</w:t>
      </w:r>
    </w:p>
    <w:p>
      <w:pPr>
        <w:pStyle w:val="FirstParagraph"/>
      </w:pPr>
      <w:r>
        <w:rPr>
          <w:bCs/>
          <w:b/>
        </w:rPr>
        <w:t xml:space="preserve">Best for:</w:t>
      </w:r>
      <w:r>
        <w:t xml:space="preserve"> </w:t>
      </w:r>
      <w:r>
        <w:t xml:space="preserve">Faculty at Georgetown (JAMA 2025 study PI), UT Southwestern, Baylor Scott &amp; White</w:t>
      </w:r>
      <w:r>
        <w:br/>
      </w:r>
      <w:r>
        <w:rPr>
          <w:bCs/>
          <w:b/>
        </w:rPr>
        <w:t xml:space="preserve">Strongest Prongs served:</w:t>
      </w:r>
      <w:r>
        <w:t xml:space="preserve"> </w:t>
      </w:r>
      <w:r>
        <w:t xml:space="preserve">P1 (national importance), P2 (unique positioning)</w:t>
      </w:r>
    </w:p>
    <w:p>
      <w:r>
        <w:pict>
          <v:rect style="width:0;height:1.5pt" o:hralign="center" o:hrstd="t" o:hr="t"/>
        </w:pict>
      </w:r>
    </w:p>
    <w:p>
      <w:pPr>
        <w:pStyle w:val="FirstParagraph"/>
      </w:pPr>
      <w:r>
        <w:t xml:space="preserve">[Date]</w:t>
      </w:r>
    </w:p>
    <w:p>
      <w:pPr>
        <w:pStyle w:val="BodyText"/>
      </w:pPr>
      <w:r>
        <w:t xml:space="preserve">U.S. Citizenship and Immigration Services</w:t>
      </w:r>
      <w:r>
        <w:br/>
      </w:r>
      <w:r>
        <w:t xml:space="preserve">[Service Center Address]</w:t>
      </w:r>
    </w:p>
    <w:p>
      <w:pPr>
        <w:pStyle w:val="BodyText"/>
      </w:pPr>
      <w:r>
        <w:t xml:space="preserve">RE: Expert Letter in Support of EB-2 National Interest Waiver Petition for Manasa Jampani</w:t>
      </w:r>
    </w:p>
    <w:p>
      <w:pPr>
        <w:pStyle w:val="BodyText"/>
      </w:pPr>
      <w:r>
        <w:t xml:space="preserve">Dear Officer:</w:t>
      </w:r>
    </w:p>
    <w:p>
      <w:pPr>
        <w:pStyle w:val="BodyText"/>
      </w:pPr>
      <w:r>
        <w:t xml:space="preserve">I am writing in strong support of the EB-2 National Interest Waiver petition for Manasa Jampani. I am [Name], [Title] at [Institution]. My expertise is in [healthcare AI / clinical informatics / molecular diagnostics / payer systems], and I have [X] years of experience in this domain. [Brief credential statement — publications, positions, recognition.]</w:t>
      </w:r>
    </w:p>
    <w:p>
      <w:pPr>
        <w:pStyle w:val="BodyText"/>
      </w:pPr>
      <w:r>
        <w:t xml:space="preserve">I am independent of Ms. Jampani and have no personal or financial relationship with her or her company. I offer this assessment based on my professional expertise.</w:t>
      </w:r>
    </w:p>
    <w:p>
      <w:pPr>
        <w:pStyle w:val="BodyText"/>
      </w:pPr>
      <w:r>
        <w:rPr>
          <w:bCs/>
          <w:b/>
        </w:rPr>
        <w:t xml:space="preserve">The National Problem</w:t>
      </w:r>
    </w:p>
    <w:p>
      <w:pPr>
        <w:pStyle w:val="BodyText"/>
      </w:pPr>
      <w:r>
        <w:t xml:space="preserve">The United States independent clinical laboratory sector faces a healthcare infrastructure crisis rooted in a structural claim denial problem. [As documented in our research / As documented by peer-reviewed evidence,] independent laboratories face 35.3% molecular diagnostic denial rates (XiFin 2024, 20M+ claims), 2.76× higher denial odds than hospital-based laboratories (JAMA Network Open 2025, n=29,919), and an estimated $10–12 billion in annual preventable revenue losses. PAMA 2027 projects cumulative Medicare cuts of up to 45% by 2029, placing 7,000+ CLIA-certified independent laboratories at financial risk — laboratories that serve rural communities, addiction medicine practices, and underserved populations without hospital-system access.</w:t>
      </w:r>
    </w:p>
    <w:p>
      <w:pPr>
        <w:pStyle w:val="BodyText"/>
      </w:pPr>
      <w:r>
        <w:t xml:space="preserve">In my professional assessment, this constitutes a national healthcare infrastructure problem of significant and quantifiable scale.</w:t>
      </w:r>
    </w:p>
    <w:p>
      <w:pPr>
        <w:pStyle w:val="BodyText"/>
      </w:pPr>
      <w:r>
        <w:rPr>
          <w:bCs/>
          <w:b/>
        </w:rPr>
        <w:t xml:space="preserve">Why Ms. Jampani’s Work Is Nationally Important</w:t>
      </w:r>
    </w:p>
    <w:p>
      <w:pPr>
        <w:pStyle w:val="BodyText"/>
      </w:pPr>
      <w:r>
        <w:t xml:space="preserve">Ms. Jampani is the Co-Founder and CEO of Ardia Health Labs, which is developing the only AI-native revenue cycle management platform specifically designed for independent laboratory molecular diagnostic billing. Critically, Ms. Jampani’s contribution to this endeavor is not simply executive leadership — it is the payer-side insider knowledge that no other developer of this technology possesses.</w:t>
      </w:r>
    </w:p>
    <w:p>
      <w:pPr>
        <w:pStyle w:val="BodyText"/>
      </w:pPr>
      <w:r>
        <w:t xml:space="preserve">Ms. Jampani has 5+ years of healthcare IT experience at United HealthGroup and Interwell Health — organizations on the payer side of the healthcare revenue equation. This experience gave her direct operational visibility into how payer clinical operations teams configure the automated claim denial systems that generate the 35.3% denial rate that threatens independent laboratories.</w:t>
      </w:r>
    </w:p>
    <w:p>
      <w:pPr>
        <w:pStyle w:val="BodyText"/>
      </w:pPr>
      <w:r>
        <w:t xml:space="preserve">In my professional assessment as an expert in [healthcare AI / clinical informatics], this vantage point is categorically unavailable to any researcher or technologist who has not worked within payer clinical operations. Payer claim denial system logic is not publicly documented, cannot be reverse-engineered from claims data alone, and is not available to outside consultants or healthcare researchers regardless of their expertise level. Ms. Jampani’s insider knowledge of this system is unique in the field.</w:t>
      </w:r>
    </w:p>
    <w:p>
      <w:pPr>
        <w:pStyle w:val="BodyText"/>
      </w:pPr>
      <w:r>
        <w:rPr>
          <w:bCs/>
          <w:b/>
        </w:rPr>
        <w:t xml:space="preserve">Why the United States Benefits</w:t>
      </w:r>
    </w:p>
    <w:p>
      <w:pPr>
        <w:pStyle w:val="BodyText"/>
      </w:pPr>
      <w:r>
        <w:t xml:space="preserve">The combination of PAMA 2027 financial pressure and the existing structural denial burden creates a time-sensitive national need for the technology Ms. Jampani is developing. If independent laboratories continue to fail at current rates, the consolidation of diagnostic services into large national reference laboratory networks will reduce access for rural and specialty communities in ways that are difficult or impossible to reverse.</w:t>
      </w:r>
    </w:p>
    <w:p>
      <w:pPr>
        <w:pStyle w:val="BodyText"/>
      </w:pPr>
      <w:r>
        <w:t xml:space="preserve">Ms. Jampani’s continued presence in the United States, advancing this specific platform with her specific combination of payer-side insider knowledge and CEO leadership, is beneficial to the national healthcare infrastructure in a manner that cannot be replicated by any other available individual.</w:t>
      </w:r>
    </w:p>
    <w:p>
      <w:pPr>
        <w:pStyle w:val="BodyText"/>
      </w:pPr>
      <w:r>
        <w:t xml:space="preserve">I strongly recommend approval of her EB-2 National Interest Waiver petition.</w:t>
      </w:r>
    </w:p>
    <w:p>
      <w:pPr>
        <w:pStyle w:val="BodyText"/>
      </w:pPr>
      <w:r>
        <w:t xml:space="preserve">Sincerely,</w:t>
      </w:r>
    </w:p>
    <w:p>
      <w:pPr>
        <w:pStyle w:val="BodyText"/>
      </w:pPr>
      <w:r>
        <w:t xml:space="preserve">[Name]</w:t>
      </w:r>
      <w:r>
        <w:t xml:space="preserve"> </w:t>
      </w:r>
      <w:r>
        <w:t xml:space="preserve">[Title]</w:t>
      </w:r>
      <w:r>
        <w:t xml:space="preserve"> </w:t>
      </w:r>
      <w:r>
        <w:t xml:space="preserve">[Institution]</w:t>
      </w:r>
      <w:r>
        <w:t xml:space="preserve"> </w:t>
      </w:r>
      <w:r>
        <w:t xml:space="preserve">[Contact Information]</w:t>
      </w:r>
    </w:p>
    <w:p>
      <w:r>
        <w:pict>
          <v:rect style="width:0;height:1.5pt" o:hralign="center" o:hrstd="t" o:hr="t"/>
        </w:pict>
      </w:r>
    </w:p>
    <w:bookmarkEnd w:id="21"/>
    <w:bookmarkStart w:id="22" w:name="X58ffac0c2854a792d1f0531aed277f732e837ac"/>
    <w:p>
      <w:pPr>
        <w:pStyle w:val="Heading2"/>
      </w:pPr>
      <w:r>
        <w:t xml:space="preserve">Template 2 — ACO / Healthcare Operations Executive</w:t>
      </w:r>
    </w:p>
    <w:p>
      <w:pPr>
        <w:pStyle w:val="FirstParagraph"/>
      </w:pPr>
      <w:r>
        <w:rPr>
          <w:bCs/>
          <w:b/>
        </w:rPr>
        <w:t xml:space="preserve">Best for:</w:t>
      </w:r>
      <w:r>
        <w:t xml:space="preserve"> </w:t>
      </w:r>
      <w:r>
        <w:t xml:space="preserve">BSWQA (Baylor Scott &amp; White Quality Alliance), Southwest Health Resources (SWHR), or ACO leadership familiar with payer operations</w:t>
      </w:r>
      <w:r>
        <w:br/>
      </w:r>
      <w:r>
        <w:rPr>
          <w:bCs/>
          <w:b/>
        </w:rPr>
        <w:t xml:space="preserve">Strongest Prongs served:</w:t>
      </w:r>
      <w:r>
        <w:t xml:space="preserve"> </w:t>
      </w:r>
      <w:r>
        <w:t xml:space="preserve">P2 (unique positioning — payer insider), P3 (no comparable expertise)</w:t>
      </w:r>
    </w:p>
    <w:p>
      <w:r>
        <w:pict>
          <v:rect style="width:0;height:1.5pt" o:hralign="center" o:hrstd="t" o:hr="t"/>
        </w:pict>
      </w:r>
    </w:p>
    <w:p>
      <w:pPr>
        <w:pStyle w:val="FirstParagraph"/>
      </w:pPr>
      <w:r>
        <w:t xml:space="preserve">[Date]</w:t>
      </w:r>
    </w:p>
    <w:p>
      <w:pPr>
        <w:pStyle w:val="BodyText"/>
      </w:pPr>
      <w:r>
        <w:t xml:space="preserve">U.S. Citizenship and Immigration Services</w:t>
      </w:r>
      <w:r>
        <w:br/>
      </w:r>
      <w:r>
        <w:t xml:space="preserve">[Service Center Address]</w:t>
      </w:r>
    </w:p>
    <w:p>
      <w:pPr>
        <w:pStyle w:val="BodyText"/>
      </w:pPr>
      <w:r>
        <w:t xml:space="preserve">RE: Expert Letter in Support of EB-2 National Interest Waiver Petition for Manasa Jampani</w:t>
      </w:r>
    </w:p>
    <w:p>
      <w:pPr>
        <w:pStyle w:val="BodyText"/>
      </w:pPr>
      <w:r>
        <w:t xml:space="preserve">Dear Officer:</w:t>
      </w:r>
    </w:p>
    <w:p>
      <w:pPr>
        <w:pStyle w:val="BodyText"/>
      </w:pPr>
      <w:r>
        <w:t xml:space="preserve">I am writing in strong support of the EB-2 National Interest Waiver petition for Manasa Jampani. I am [Name], [Title] at [Organization — ACO/health system/payer organization]. I have [X] years of experience in healthcare operations, value-based care, and/or payer-side clinical operations. [Brief credential statement.]</w:t>
      </w:r>
    </w:p>
    <w:p>
      <w:pPr>
        <w:pStyle w:val="BodyText"/>
      </w:pPr>
      <w:r>
        <w:rPr>
          <w:bCs/>
          <w:b/>
        </w:rPr>
        <w:t xml:space="preserve">The Payer Operations Insider Knowledge Problem</w:t>
      </w:r>
    </w:p>
    <w:p>
      <w:pPr>
        <w:pStyle w:val="BodyText"/>
      </w:pPr>
      <w:r>
        <w:t xml:space="preserve">In my [X] years of experience in healthcare operations [/payer-side clinical operations], I have worked alongside clinical operations teams at payer and payer-adjacent organizations. I can attest that the operational logic governing automated claim denial systems — the coverage determination matrices, claim edit libraries, prior authorization AI scoring, and predictive triage systems — is proprietary, not publicly available, and not visible to provider-side organizations.</w:t>
      </w:r>
    </w:p>
    <w:p>
      <w:pPr>
        <w:pStyle w:val="BodyText"/>
      </w:pPr>
      <w:r>
        <w:t xml:space="preserve">Provider-side organizations — including independent clinical laboratories — learn of payer denial logic through the reverse-engineering of denial outcomes. This process takes months for each new denial pattern and is systematically slower than the payer’s ability to update denial criteria.</w:t>
      </w:r>
    </w:p>
    <w:p>
      <w:pPr>
        <w:pStyle w:val="BodyText"/>
      </w:pPr>
      <w:r>
        <w:rPr>
          <w:bCs/>
          <w:b/>
        </w:rPr>
        <w:t xml:space="preserve">Why Ms. Jampani’s Background Is Unique</w:t>
      </w:r>
    </w:p>
    <w:p>
      <w:pPr>
        <w:pStyle w:val="BodyText"/>
      </w:pPr>
      <w:r>
        <w:t xml:space="preserve">Ms. Jampani’s 5+ years of healthcare IT experience at United HealthGroup and Interwell Health placed her in healthcare IT roles supporting payer clinical operations functions. This gave her direct operational visibility into the processes that produce the documented 35.3% molecular diagnostic denial rate and 2.76× independent laboratory denial disparity.</w:t>
      </w:r>
    </w:p>
    <w:p>
      <w:pPr>
        <w:pStyle w:val="BodyText"/>
      </w:pPr>
      <w:r>
        <w:t xml:space="preserve">To my knowledge, there is no other individual developing independent laboratory billing AI who has this specific combination of:</w:t>
      </w:r>
      <w:r>
        <w:t xml:space="preserve"> </w:t>
      </w:r>
      <w:r>
        <w:t xml:space="preserve">1. Direct payer-side clinical operations experience at organizations of this scale</w:t>
      </w:r>
      <w:r>
        <w:t xml:space="preserve"> </w:t>
      </w:r>
      <w:r>
        <w:t xml:space="preserve">2. Co-founder status at a company actively building provider-side countermeasure technology</w:t>
      </w:r>
      <w:r>
        <w:t xml:space="preserve"> </w:t>
      </w:r>
      <w:r>
        <w:t xml:space="preserve">3. The executive responsibility to translate insider knowledge into commercial AI architecture</w:t>
      </w:r>
    </w:p>
    <w:p>
      <w:pPr>
        <w:pStyle w:val="BodyText"/>
      </w:pPr>
      <w:r>
        <w:rPr>
          <w:bCs/>
          <w:b/>
        </w:rPr>
        <w:t xml:space="preserve">Why This Matters to the National Healthcare System</w:t>
      </w:r>
    </w:p>
    <w:p>
      <w:pPr>
        <w:pStyle w:val="BodyText"/>
      </w:pPr>
      <w:r>
        <w:t xml:space="preserve">The independent laboratory sector serves healthcare needs that payer organizations and hospital systems do not fully address — rural communities, addiction medicine, specialty oncology. The 2024 ACLA survey documented that more than 50% of independent laboratory directors are considering exit if PAMA 2027 cuts take effect. Ms. Jampani’s work at Ardia Health Labs directly addresses this threat to healthcare access infrastructure.</w:t>
      </w:r>
    </w:p>
    <w:p>
      <w:pPr>
        <w:pStyle w:val="BodyText"/>
      </w:pPr>
      <w:r>
        <w:t xml:space="preserve">In my professional assessment, Ms. Jampani is uniquely and exceptionally positioned to advance this nationally important endeavor. Her continued presence and work in the United States is in the national interest.</w:t>
      </w:r>
    </w:p>
    <w:p>
      <w:pPr>
        <w:pStyle w:val="BodyText"/>
      </w:pPr>
      <w:r>
        <w:t xml:space="preserve">I strongly recommend approval of her EB-2 National Interest Waiver petition.</w:t>
      </w:r>
    </w:p>
    <w:p>
      <w:pPr>
        <w:pStyle w:val="BodyText"/>
      </w:pPr>
      <w:r>
        <w:t xml:space="preserve">Sincerely,</w:t>
      </w:r>
    </w:p>
    <w:p>
      <w:pPr>
        <w:pStyle w:val="BodyText"/>
      </w:pPr>
      <w:r>
        <w:t xml:space="preserve">[Name]</w:t>
      </w:r>
      <w:r>
        <w:t xml:space="preserve"> </w:t>
      </w:r>
      <w:r>
        <w:t xml:space="preserve">[Title]</w:t>
      </w:r>
      <w:r>
        <w:t xml:space="preserve"> </w:t>
      </w:r>
      <w:r>
        <w:t xml:space="preserve">[Organization]</w:t>
      </w:r>
      <w:r>
        <w:t xml:space="preserve"> </w:t>
      </w:r>
      <w:r>
        <w:t xml:space="preserve">[Contact Information]</w:t>
      </w:r>
    </w:p>
    <w:p>
      <w:r>
        <w:pict>
          <v:rect style="width:0;height:1.5pt" o:hralign="center" o:hrstd="t" o:hr="t"/>
        </w:pict>
      </w:r>
    </w:p>
    <w:bookmarkEnd w:id="22"/>
    <w:bookmarkStart w:id="25" w:name="Xcb7adab6c7baf7d9d0ab32bca8a167755b359e4"/>
    <w:p>
      <w:pPr>
        <w:pStyle w:val="Heading2"/>
      </w:pPr>
      <w:r>
        <w:t xml:space="preserve">Expert Witness Recruitment Strategy for Manasa</w:t>
      </w:r>
    </w:p>
    <w:bookmarkStart w:id="23" w:name="priority-targets-ranked"/>
    <w:p>
      <w:pPr>
        <w:pStyle w:val="Heading3"/>
      </w:pPr>
      <w:r>
        <w:t xml:space="preserve">Priority Targets (Ranked)</w:t>
      </w:r>
    </w:p>
    <w:p>
      <w:pPr>
        <w:numPr>
          <w:ilvl w:val="0"/>
          <w:numId w:val="1001"/>
        </w:numPr>
      </w:pPr>
      <w:r>
        <w:rPr>
          <w:bCs/>
          <w:b/>
        </w:rPr>
        <w:t xml:space="preserve">Georgetown University PI</w:t>
      </w:r>
      <w:r>
        <w:t xml:space="preserve"> </w:t>
      </w:r>
      <w:r>
        <w:t xml:space="preserve">(JAMA Network Open 2025 NGS denial study) — their research documents the national importance (Prong 1) and the independent lab disparity; Manasa’s work is the direct response. Strongest possible Prong 1 letter.</w:t>
      </w:r>
    </w:p>
    <w:p>
      <w:pPr>
        <w:numPr>
          <w:ilvl w:val="0"/>
          <w:numId w:val="1001"/>
        </w:numPr>
      </w:pPr>
      <w:r>
        <w:rPr>
          <w:bCs/>
          <w:b/>
        </w:rPr>
        <w:t xml:space="preserve">XiFin Research Principal</w:t>
      </w:r>
      <w:r>
        <w:t xml:space="preserve"> </w:t>
      </w:r>
      <w:r>
        <w:t xml:space="preserve">(2024 Payor Denial Impact Report) — their data establishes the 35.3% denial rate; a letter from them validates that Manasa’s endeavor addresses a real and quantified national problem.</w:t>
      </w:r>
    </w:p>
    <w:p>
      <w:pPr>
        <w:numPr>
          <w:ilvl w:val="0"/>
          <w:numId w:val="1001"/>
        </w:numPr>
      </w:pPr>
      <w:r>
        <w:rPr>
          <w:bCs/>
          <w:b/>
        </w:rPr>
        <w:t xml:space="preserve">Renal Care / Interwell Health</w:t>
      </w:r>
      <w:r>
        <w:t xml:space="preserve"> </w:t>
      </w:r>
      <w:r>
        <w:t xml:space="preserve">(former colleague with appropriate standing) — can attest to the nature of payer-adjacent clinical operations experience and why it is unique (without disclosing confidential information).</w:t>
      </w:r>
    </w:p>
    <w:p>
      <w:pPr>
        <w:numPr>
          <w:ilvl w:val="0"/>
          <w:numId w:val="1001"/>
        </w:numPr>
      </w:pPr>
      <w:r>
        <w:rPr>
          <w:bCs/>
          <w:b/>
        </w:rPr>
        <w:t xml:space="preserve">BSWQA or SWHR ACO Executive</w:t>
      </w:r>
      <w:r>
        <w:t xml:space="preserve"> </w:t>
      </w:r>
      <w:r>
        <w:t xml:space="preserve">— DFW-based ACO organization; can attest to the significance of ACO operations expertise and the national importance of lab billing AI in value-based care contexts.</w:t>
      </w:r>
    </w:p>
    <w:p>
      <w:pPr>
        <w:numPr>
          <w:ilvl w:val="0"/>
          <w:numId w:val="1001"/>
        </w:numPr>
      </w:pPr>
      <w:r>
        <w:rPr>
          <w:bCs/>
          <w:b/>
        </w:rPr>
        <w:t xml:space="preserve">AMIA Member / Healthcare Informatics Faculty</w:t>
      </w:r>
      <w:r>
        <w:t xml:space="preserve"> </w:t>
      </w:r>
      <w:r>
        <w:t xml:space="preserve">— validates Manasa’s publication contributions (Paper 4) and the academic significance of payer AI analysis from an insider perspective.</w:t>
      </w:r>
    </w:p>
    <w:bookmarkEnd w:id="23"/>
    <w:bookmarkStart w:id="24" w:name="recruitment-email-template"/>
    <w:p>
      <w:pPr>
        <w:pStyle w:val="Heading3"/>
      </w:pPr>
      <w:r>
        <w:t xml:space="preserve">Recruitment Email Template</w:t>
      </w:r>
    </w:p>
    <w:p>
      <w:pPr>
        <w:pStyle w:val="BlockText"/>
      </w:pPr>
      <w:r>
        <w:t xml:space="preserve">Subject: Expert Witness Letter Request — EB-2 National Interest Waiver — Healthcare AI</w:t>
      </w:r>
    </w:p>
    <w:p>
      <w:pPr>
        <w:pStyle w:val="BlockText"/>
      </w:pPr>
      <w:r>
        <w:t xml:space="preserve">Dear [Name],</w:t>
      </w:r>
    </w:p>
    <w:p>
      <w:pPr>
        <w:pStyle w:val="BlockText"/>
      </w:pPr>
      <w:r>
        <w:t xml:space="preserve">My name is Manasa Jampani. I am the Co-Founder and CEO of Ardia Health Labs in Argyle, TX. I have 10+ years of IT experience including 5+ years in healthcare IT at Interwell Health, United HealthGroup, and ECFMG.</w:t>
      </w:r>
    </w:p>
    <w:p>
      <w:pPr>
        <w:pStyle w:val="BlockText"/>
      </w:pPr>
      <w:r>
        <w:t xml:space="preserve">Ardia Health Labs is developing the first AI-native revenue cycle management platform specifically designed for independent clinical laboratory molecular diagnostic billing — addressing the documented $10–12 billion annual claim denial problem your [research / organization’s work] has helped quantify.</w:t>
      </w:r>
    </w:p>
    <w:p>
      <w:pPr>
        <w:pStyle w:val="BlockText"/>
      </w:pPr>
      <w:r>
        <w:t xml:space="preserve">I am preparing an EB-2 National Interest Waiver petition and am seeking an expert witness letter. I believe your expertise in [their domain] uniquely qualifies you to assess the national importance of this work and my positioning to advance it.</w:t>
      </w:r>
    </w:p>
    <w:p>
      <w:pPr>
        <w:pStyle w:val="BlockText"/>
      </w:pPr>
      <w:r>
        <w:t xml:space="preserve">I would provide you with a draft letter template, full technical documentation, and a brief meeting to discuss. This would require approximately 1–2 hours of your time.</w:t>
      </w:r>
    </w:p>
    <w:p>
      <w:pPr>
        <w:pStyle w:val="BlockText"/>
      </w:pPr>
      <w:r>
        <w:t xml:space="preserve">Would you be willing to speak with me about this?</w:t>
      </w:r>
    </w:p>
    <w:p>
      <w:pPr>
        <w:pStyle w:val="BlockText"/>
      </w:pPr>
      <w:r>
        <w:t xml:space="preserve">Best regards,</w:t>
      </w:r>
      <w:r>
        <w:t xml:space="preserve"> </w:t>
      </w:r>
      <w:r>
        <w:t xml:space="preserve">Manasa Jampani</w:t>
      </w:r>
      <w:r>
        <w:t xml:space="preserve"> </w:t>
      </w:r>
      <w:r>
        <w:t xml:space="preserve">founders@ardiahealthlabs.com</w:t>
      </w:r>
      <w:r>
        <w:t xml:space="preserve"> </w:t>
      </w:r>
      <w:r>
        <w:t xml:space="preserve">(469) 499-6435</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2026-07-01T05:20:20Z</dcterms:created>
  <dcterms:modified xsi:type="dcterms:W3CDTF">2026-07-01T05:20:20Z</dcterms:modified>
</cp:coreProperties>
</file>

<file path=docProps/custom.xml><?xml version="1.0" encoding="utf-8"?>
<Properties xmlns="http://schemas.openxmlformats.org/officeDocument/2006/custom-properties" xmlns:vt="http://schemas.openxmlformats.org/officeDocument/2006/docPropsVTypes"/>
</file>