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6b7fd04ae5b522e2a894de4bf8fc89c98144494"/>
    <w:p>
      <w:pPr>
        <w:pStyle w:val="Heading1"/>
      </w:pPr>
      <w:r>
        <w:t xml:space="preserve">Rambabu Vadlamudi — EB-1A Extraordinary Ability Petition</w:t>
      </w:r>
    </w:p>
    <w:p>
      <w:pPr>
        <w:pStyle w:val="FirstParagraph"/>
      </w:pPr>
      <w:r>
        <w:rPr>
          <w:bCs/>
          <w:b/>
        </w:rPr>
        <w:t xml:space="preserve">Petitioner:</w:t>
      </w:r>
      <w:r>
        <w:t xml:space="preserve"> </w:t>
      </w:r>
      <w:r>
        <w:t xml:space="preserve">Rambabu Vadlamudi</w:t>
      </w:r>
      <w:r>
        <w:br/>
      </w:r>
      <w:r>
        <w:rPr>
          <w:bCs/>
          <w:b/>
        </w:rPr>
        <w:t xml:space="preserve">Classification:</w:t>
      </w:r>
      <w:r>
        <w:t xml:space="preserve"> </w:t>
      </w:r>
      <w:r>
        <w:t xml:space="preserve">EB-1A (Extraordinary Ability in Science/Business)</w:t>
      </w:r>
      <w:r>
        <w:br/>
      </w:r>
      <w:r>
        <w:rPr>
          <w:bCs/>
          <w:b/>
        </w:rPr>
        <w:t xml:space="preserve">Company:</w:t>
      </w:r>
      <w:r>
        <w:t xml:space="preserve"> </w:t>
      </w:r>
      <w:r>
        <w:t xml:space="preserve">Ardia Health Labs (Argyle, TX 76226)</w:t>
      </w:r>
      <w:r>
        <w:br/>
      </w:r>
      <w:r>
        <w:rPr>
          <w:bCs/>
          <w:b/>
        </w:rPr>
        <w:t xml:space="preserve">Date Prepared:</w:t>
      </w:r>
      <w:r>
        <w:t xml:space="preserve"> </w:t>
      </w:r>
      <w:r>
        <w:t xml:space="preserve">June 2026</w:t>
      </w:r>
    </w:p>
    <w:p>
      <w:r>
        <w:pict>
          <v:rect style="width:0;height:1.5pt" o:hralign="center" o:hrstd="t" o:hr="t"/>
        </w:pict>
      </w:r>
    </w:p>
    <w:bookmarkStart w:id="20" w:name="about-rambabu-vadlamudi"/>
    <w:p>
      <w:pPr>
        <w:pStyle w:val="Heading2"/>
      </w:pPr>
      <w:r>
        <w:t xml:space="preserve">About Rambabu Vadlamudi</w:t>
      </w:r>
    </w:p>
    <w:p>
      <w:pPr>
        <w:pStyle w:val="FirstParagraph"/>
      </w:pPr>
      <w:r>
        <w:t xml:space="preserve">Rambabu Vadlamudi is the Founder &amp; Enterprise Architect of Ardia Health Labs, a Delaware LLC incorporated January 2026 and headquartered in Argyle, TX. He is the inventor of the</w:t>
      </w:r>
      <w:r>
        <w:t xml:space="preserve"> </w:t>
      </w:r>
      <w:r>
        <w:rPr>
          <w:bCs/>
          <w:b/>
        </w:rPr>
        <w:t xml:space="preserve">DGP (Deterministic-Generative-Predictive) Clinical Revenue Architecture</w:t>
      </w:r>
      <w:r>
        <w:t xml:space="preserve"> </w:t>
      </w:r>
      <w:r>
        <w:t xml:space="preserve">— a proprietary three-layer AI system built to recover denied clinical laboratory claims with zero hallucination on policy interpretation.</w:t>
      </w:r>
    </w:p>
    <w:p>
      <w:pPr>
        <w:numPr>
          <w:ilvl w:val="0"/>
          <w:numId w:val="1001"/>
        </w:numPr>
        <w:pStyle w:val="Compact"/>
      </w:pPr>
      <w:r>
        <w:rPr>
          <w:bCs/>
          <w:b/>
        </w:rPr>
        <w:t xml:space="preserve">Total IT Experience:</w:t>
      </w:r>
      <w:r>
        <w:t xml:space="preserve"> </w:t>
      </w:r>
      <w:r>
        <w:t xml:space="preserve">15+ years</w:t>
      </w:r>
    </w:p>
    <w:p>
      <w:pPr>
        <w:numPr>
          <w:ilvl w:val="0"/>
          <w:numId w:val="1001"/>
        </w:numPr>
        <w:pStyle w:val="Compact"/>
      </w:pPr>
      <w:r>
        <w:rPr>
          <w:bCs/>
          <w:b/>
        </w:rPr>
        <w:t xml:space="preserve">Healthcare IT Experience:</w:t>
      </w:r>
      <w:r>
        <w:t xml:space="preserve"> </w:t>
      </w:r>
      <w:r>
        <w:t xml:space="preserve">8+ years</w:t>
      </w:r>
    </w:p>
    <w:p>
      <w:pPr>
        <w:numPr>
          <w:ilvl w:val="0"/>
          <w:numId w:val="1001"/>
        </w:numPr>
        <w:pStyle w:val="Compact"/>
      </w:pPr>
      <w:r>
        <w:rPr>
          <w:bCs/>
          <w:b/>
        </w:rPr>
        <w:t xml:space="preserve">Prior Employers:</w:t>
      </w:r>
      <w:r>
        <w:t xml:space="preserve"> </w:t>
      </w:r>
      <w:r>
        <w:t xml:space="preserve">Alsac (St. Jude Children’s Research Hospital), CIGNA, Medifast, Teladoc Health, United Health Care, ECFMG</w:t>
      </w:r>
    </w:p>
    <w:p>
      <w:pPr>
        <w:numPr>
          <w:ilvl w:val="0"/>
          <w:numId w:val="1001"/>
        </w:numPr>
        <w:pStyle w:val="Compact"/>
      </w:pPr>
      <w:r>
        <w:rPr>
          <w:bCs/>
          <w:b/>
        </w:rPr>
        <w:t xml:space="preserve">Domain Expertise:</w:t>
      </w:r>
      <w:r>
        <w:t xml:space="preserve"> </w:t>
      </w:r>
      <w:r>
        <w:t xml:space="preserve">FHIR R4, HL7 v2, EDI 835/837, clinical data pipelines, enterprise architecture, GCP</w:t>
      </w:r>
    </w:p>
    <w:p>
      <w:pPr>
        <w:numPr>
          <w:ilvl w:val="0"/>
          <w:numId w:val="1001"/>
        </w:numPr>
        <w:pStyle w:val="Compact"/>
      </w:pPr>
      <w:r>
        <w:rPr>
          <w:bCs/>
          <w:b/>
        </w:rPr>
        <w:t xml:space="preserve">Contact:</w:t>
      </w:r>
      <w:r>
        <w:t xml:space="preserve"> </w:t>
      </w:r>
      <w:r>
        <w:t xml:space="preserve">ram.vadlamudi@ardiahealthlabs.com | (469) 679-3334</w:t>
      </w:r>
    </w:p>
    <w:p>
      <w:r>
        <w:pict>
          <v:rect style="width:0;height:1.5pt" o:hralign="center" o:hrstd="t" o:hr="t"/>
        </w:pict>
      </w:r>
    </w:p>
    <w:bookmarkEnd w:id="20"/>
    <w:bookmarkStart w:id="21" w:name="eb-1a-criteria-status-need-3-of-10"/>
    <w:p>
      <w:pPr>
        <w:pStyle w:val="Heading2"/>
      </w:pPr>
      <w:r>
        <w:t xml:space="preserve">EB-1A Criteria Status (Need 3 of 10)</w:t>
      </w:r>
    </w:p>
    <w:tbl>
      <w:tblPr>
        <w:tblStyle w:val="Table"/>
        <w:tblW w:type="pct" w:w="5000"/>
        <w:tblLook w:firstRow="1" w:lastRow="0" w:firstColumn="0" w:lastColumn="0" w:noHBand="0" w:noVBand="0" w:val="0020"/>
        <w:jc w:val="start"/>
      </w:tblPr>
      <w:tblGrid>
        <w:gridCol w:w="2292"/>
        <w:gridCol w:w="1667"/>
        <w:gridCol w:w="3960"/>
      </w:tblGrid>
      <w:tr>
        <w:trPr>
          <w:tblHeader w:val="true"/>
        </w:trPr>
        <w:tc>
          <w:tcPr/>
          <w:p>
            <w:pPr>
              <w:pStyle w:val="Compact"/>
              <w:jc w:val="left"/>
            </w:pPr>
            <w:r>
              <w:t xml:space="preserve">Criterion</w:t>
            </w:r>
          </w:p>
        </w:tc>
        <w:tc>
          <w:tcPr/>
          <w:p>
            <w:pPr>
              <w:pStyle w:val="Compact"/>
              <w:jc w:val="left"/>
            </w:pPr>
            <w:r>
              <w:t xml:space="preserve">Status</w:t>
            </w:r>
          </w:p>
        </w:tc>
        <w:tc>
          <w:tcPr/>
          <w:p>
            <w:pPr>
              <w:pStyle w:val="Compact"/>
              <w:jc w:val="left"/>
            </w:pPr>
            <w:r>
              <w:t xml:space="preserve">Strongest Evidence</w:t>
            </w:r>
          </w:p>
        </w:tc>
      </w:tr>
      <w:tr>
        <w:tc>
          <w:tcPr/>
          <w:p>
            <w:pPr>
              <w:pStyle w:val="Compact"/>
              <w:jc w:val="left"/>
            </w:pPr>
            <w:r>
              <w:t xml:space="preserve">C1 — Awards/Prizes</w:t>
            </w:r>
          </w:p>
        </w:tc>
        <w:tc>
          <w:tcPr/>
          <w:p>
            <w:pPr>
              <w:pStyle w:val="Compact"/>
              <w:jc w:val="left"/>
            </w:pPr>
            <w:r>
              <w:t xml:space="preserve">⚠️ In Progress</w:t>
            </w:r>
          </w:p>
        </w:tc>
        <w:tc>
          <w:tcPr/>
          <w:p>
            <w:pPr>
              <w:pStyle w:val="Compact"/>
              <w:jc w:val="left"/>
            </w:pPr>
            <w:r>
              <w:t xml:space="preserve">Apply: Fast Company, DFW Innovation Awards</w:t>
            </w:r>
          </w:p>
        </w:tc>
      </w:tr>
      <w:tr>
        <w:tc>
          <w:tcPr/>
          <w:p>
            <w:pPr>
              <w:pStyle w:val="Compact"/>
              <w:jc w:val="left"/>
            </w:pPr>
            <w:r>
              <w:t xml:space="preserve">C2 — Membership</w:t>
            </w:r>
          </w:p>
        </w:tc>
        <w:tc>
          <w:tcPr/>
          <w:p>
            <w:pPr>
              <w:pStyle w:val="Compact"/>
              <w:jc w:val="left"/>
            </w:pPr>
            <w:r>
              <w:t xml:space="preserve">⚠️ In Progress</w:t>
            </w:r>
          </w:p>
        </w:tc>
        <w:tc>
          <w:tcPr/>
          <w:p>
            <w:pPr>
              <w:pStyle w:val="Compact"/>
              <w:jc w:val="left"/>
            </w:pPr>
            <w:r>
              <w:t xml:space="preserve">Apply: HIMSS Fellow, AMIA, Forbes Tech Council</w:t>
            </w:r>
          </w:p>
        </w:tc>
      </w:tr>
      <w:tr>
        <w:tc>
          <w:tcPr/>
          <w:p>
            <w:pPr>
              <w:pStyle w:val="Compact"/>
              <w:jc w:val="left"/>
            </w:pPr>
            <w:r>
              <w:t xml:space="preserve">C3 — Press Coverage</w:t>
            </w:r>
          </w:p>
        </w:tc>
        <w:tc>
          <w:tcPr/>
          <w:p>
            <w:pPr>
              <w:pStyle w:val="Compact"/>
              <w:jc w:val="left"/>
            </w:pPr>
            <w:r>
              <w:t xml:space="preserve">⚠️ In Progress</w:t>
            </w:r>
          </w:p>
        </w:tc>
        <w:tc>
          <w:tcPr/>
          <w:p>
            <w:pPr>
              <w:pStyle w:val="Compact"/>
              <w:jc w:val="left"/>
            </w:pPr>
            <w:r>
              <w:t xml:space="preserve">Pitch: Becker’s, MedCity News, STAT News</w:t>
            </w:r>
          </w:p>
        </w:tc>
      </w:tr>
      <w:tr>
        <w:tc>
          <w:tcPr/>
          <w:p>
            <w:pPr>
              <w:pStyle w:val="Compact"/>
              <w:jc w:val="left"/>
            </w:pPr>
            <w:r>
              <w:t xml:space="preserve">C4 — Judging</w:t>
            </w:r>
          </w:p>
        </w:tc>
        <w:tc>
          <w:tcPr/>
          <w:p>
            <w:pPr>
              <w:pStyle w:val="Compact"/>
              <w:jc w:val="left"/>
            </w:pPr>
            <w:r>
              <w:t xml:space="preserve">⚠️ Action Required</w:t>
            </w:r>
          </w:p>
        </w:tc>
        <w:tc>
          <w:tcPr/>
          <w:p>
            <w:pPr>
              <w:pStyle w:val="Compact"/>
              <w:jc w:val="left"/>
            </w:pPr>
            <w:r>
              <w:t xml:space="preserve">Email: JAMIA peer reviewer, NIH SBIR study section</w:t>
            </w:r>
          </w:p>
        </w:tc>
      </w:tr>
      <w:tr>
        <w:tc>
          <w:tcPr/>
          <w:p>
            <w:pPr>
              <w:pStyle w:val="Compact"/>
              <w:jc w:val="left"/>
            </w:pPr>
            <w:r>
              <w:rPr>
                <w:bCs/>
                <w:b/>
              </w:rPr>
              <w:t xml:space="preserve">C5 — Original Contributions</w:t>
            </w:r>
          </w:p>
        </w:tc>
        <w:tc>
          <w:tcPr/>
          <w:p>
            <w:pPr>
              <w:pStyle w:val="Compact"/>
              <w:jc w:val="left"/>
            </w:pPr>
            <w:r>
              <w:t xml:space="preserve">✅</w:t>
            </w:r>
            <w:r>
              <w:t xml:space="preserve"> </w:t>
            </w:r>
            <w:r>
              <w:rPr>
                <w:bCs/>
                <w:b/>
              </w:rPr>
              <w:t xml:space="preserve">STRONG</w:t>
            </w:r>
          </w:p>
        </w:tc>
        <w:tc>
          <w:tcPr/>
          <w:p>
            <w:pPr>
              <w:pStyle w:val="Compact"/>
              <w:jc w:val="left"/>
            </w:pPr>
            <w:r>
              <w:t xml:space="preserve">DGP Architecture white paper + pitch deck</w:t>
            </w:r>
          </w:p>
        </w:tc>
      </w:tr>
      <w:tr>
        <w:tc>
          <w:tcPr/>
          <w:p>
            <w:pPr>
              <w:pStyle w:val="Compact"/>
              <w:jc w:val="left"/>
            </w:pPr>
            <w:r>
              <w:rPr>
                <w:bCs/>
                <w:b/>
              </w:rPr>
              <w:t xml:space="preserve">C6 — Scholarly Publications</w:t>
            </w:r>
          </w:p>
        </w:tc>
        <w:tc>
          <w:tcPr/>
          <w:p>
            <w:pPr>
              <w:pStyle w:val="Compact"/>
              <w:jc w:val="left"/>
            </w:pPr>
            <w:r>
              <w:t xml:space="preserve">⚠️ Action Required</w:t>
            </w:r>
          </w:p>
        </w:tc>
        <w:tc>
          <w:tcPr/>
          <w:p>
            <w:pPr>
              <w:pStyle w:val="Compact"/>
              <w:jc w:val="left"/>
            </w:pPr>
            <w:r>
              <w:rPr>
                <w:bCs/>
                <w:b/>
              </w:rPr>
              <w:t xml:space="preserve">Submit Paper 1 to arXiv THIS WEEK</w:t>
            </w:r>
          </w:p>
        </w:tc>
      </w:tr>
      <w:tr>
        <w:tc>
          <w:tcPr/>
          <w:p>
            <w:pPr>
              <w:pStyle w:val="Compact"/>
              <w:jc w:val="left"/>
            </w:pPr>
            <w:r>
              <w:t xml:space="preserve">C8 — Leading Role</w:t>
            </w:r>
          </w:p>
        </w:tc>
        <w:tc>
          <w:tcPr/>
          <w:p>
            <w:pPr>
              <w:pStyle w:val="Compact"/>
              <w:jc w:val="left"/>
            </w:pPr>
            <w:r>
              <w:t xml:space="preserve">✅</w:t>
            </w:r>
            <w:r>
              <w:t xml:space="preserve"> </w:t>
            </w:r>
            <w:r>
              <w:rPr>
                <w:bCs/>
                <w:b/>
              </w:rPr>
              <w:t xml:space="preserve">STRONG</w:t>
            </w:r>
          </w:p>
        </w:tc>
        <w:tc>
          <w:tcPr/>
          <w:p>
            <w:pPr>
              <w:pStyle w:val="Compact"/>
              <w:jc w:val="left"/>
            </w:pPr>
            <w:r>
              <w:t xml:space="preserve">Founder &amp; Enterprise Architect, Ardia Health Labs</w:t>
            </w:r>
          </w:p>
        </w:tc>
      </w:tr>
    </w:tbl>
    <w:p>
      <w:pPr>
        <w:pStyle w:val="BodyText"/>
      </w:pPr>
      <w:r>
        <w:rPr>
          <w:bCs/>
          <w:b/>
        </w:rPr>
        <w:t xml:space="preserve">Recommended filing strategy:</w:t>
      </w:r>
      <w:r>
        <w:t xml:space="preserve"> </w:t>
      </w:r>
      <w:r>
        <w:t xml:space="preserve">Lead with C5 + C8 (both strong now), add C6 after arXiv submission, build C4 via JAMIA peer review.</w:t>
      </w:r>
    </w:p>
    <w:p>
      <w:r>
        <w:pict>
          <v:rect style="width:0;height:1.5pt" o:hralign="center" o:hrstd="t" o:hr="t"/>
        </w:pict>
      </w:r>
    </w:p>
    <w:bookmarkEnd w:id="21"/>
    <w:bookmarkStart w:id="26" w:name="contents-of-this-repository"/>
    <w:p>
      <w:pPr>
        <w:pStyle w:val="Heading2"/>
      </w:pPr>
      <w:r>
        <w:t xml:space="preserve">Contents of This Repository</w:t>
      </w:r>
    </w:p>
    <w:bookmarkStart w:id="22" w:name="X3944a8954199521433390fb2a4813a36335fcea"/>
    <w:p>
      <w:pPr>
        <w:pStyle w:val="Heading3"/>
      </w:pPr>
      <w:r>
        <w:t xml:space="preserve">Papers (for EB-1A Criterion 6 — Scholarly Publications)</w:t>
      </w:r>
    </w:p>
    <w:p>
      <w:pPr>
        <w:numPr>
          <w:ilvl w:val="0"/>
          <w:numId w:val="1002"/>
        </w:numPr>
        <w:pStyle w:val="Compact"/>
      </w:pPr>
      <w:r>
        <w:rPr>
          <w:rStyle w:val="VerbatimChar"/>
        </w:rPr>
        <w:t xml:space="preserve">papers/paper1_dgp_architecture.md</w:t>
      </w:r>
      <w:r>
        <w:t xml:space="preserve"> </w:t>
      </w:r>
      <w:r>
        <w:t xml:space="preserve">— Full draft: DGP Architecture paper (submit arXiv cs.AI)</w:t>
      </w:r>
    </w:p>
    <w:p>
      <w:pPr>
        <w:numPr>
          <w:ilvl w:val="0"/>
          <w:numId w:val="1002"/>
        </w:numPr>
        <w:pStyle w:val="Compact"/>
      </w:pPr>
      <w:r>
        <w:rPr>
          <w:rStyle w:val="VerbatimChar"/>
        </w:rPr>
        <w:t xml:space="preserve">papers/paper2_lab_revenue_crisis.md</w:t>
      </w:r>
      <w:r>
        <w:t xml:space="preserve"> </w:t>
      </w:r>
      <w:r>
        <w:t xml:space="preserve">— Full draft: Independent Lab Revenue Crisis systematic review</w:t>
      </w:r>
    </w:p>
    <w:p>
      <w:pPr>
        <w:numPr>
          <w:ilvl w:val="0"/>
          <w:numId w:val="1002"/>
        </w:numPr>
        <w:pStyle w:val="Compact"/>
      </w:pPr>
      <w:r>
        <w:rPr>
          <w:rStyle w:val="VerbatimChar"/>
        </w:rPr>
        <w:t xml:space="preserve">papers/paper3_ai_governance_sb1188.md</w:t>
      </w:r>
      <w:r>
        <w:t xml:space="preserve"> </w:t>
      </w:r>
      <w:r>
        <w:t xml:space="preserve">— Full draft: AI Governance under TX SB 1188 + TRAIGA</w:t>
      </w:r>
    </w:p>
    <w:bookmarkEnd w:id="22"/>
    <w:bookmarkStart w:id="23" w:name="citations"/>
    <w:p>
      <w:pPr>
        <w:pStyle w:val="Heading3"/>
      </w:pPr>
      <w:r>
        <w:t xml:space="preserve">Citations</w:t>
      </w:r>
    </w:p>
    <w:p>
      <w:pPr>
        <w:numPr>
          <w:ilvl w:val="0"/>
          <w:numId w:val="1003"/>
        </w:numPr>
        <w:pStyle w:val="Compact"/>
      </w:pPr>
      <w:r>
        <w:rPr>
          <w:rStyle w:val="VerbatimChar"/>
        </w:rPr>
        <w:t xml:space="preserve">citations/reference_library.md</w:t>
      </w:r>
      <w:r>
        <w:t xml:space="preserve"> </w:t>
      </w:r>
      <w:r>
        <w:t xml:space="preserve">— 11 sources in NLM, APA, and Chicago formats</w:t>
      </w:r>
    </w:p>
    <w:bookmarkEnd w:id="23"/>
    <w:bookmarkStart w:id="24" w:name="visa-evidence"/>
    <w:p>
      <w:pPr>
        <w:pStyle w:val="Heading3"/>
      </w:pPr>
      <w:r>
        <w:t xml:space="preserve">Visa Evidence</w:t>
      </w:r>
    </w:p>
    <w:p>
      <w:pPr>
        <w:numPr>
          <w:ilvl w:val="0"/>
          <w:numId w:val="1004"/>
        </w:numPr>
        <w:pStyle w:val="Compact"/>
      </w:pPr>
      <w:r>
        <w:rPr>
          <w:rStyle w:val="VerbatimChar"/>
        </w:rPr>
        <w:t xml:space="preserve">visa_evidence/eb1a_criteria_map.md</w:t>
      </w:r>
      <w:r>
        <w:t xml:space="preserve"> </w:t>
      </w:r>
      <w:r>
        <w:t xml:space="preserve">— Evidence mapped to each EB-1A criterion with priority actions</w:t>
      </w:r>
    </w:p>
    <w:p>
      <w:pPr>
        <w:numPr>
          <w:ilvl w:val="0"/>
          <w:numId w:val="1004"/>
        </w:numPr>
        <w:pStyle w:val="Compact"/>
      </w:pPr>
      <w:r>
        <w:rPr>
          <w:rStyle w:val="VerbatimChar"/>
        </w:rPr>
        <w:t xml:space="preserve">visa_evidence/expert_witness_letter_templates.md</w:t>
      </w:r>
      <w:r>
        <w:t xml:space="preserve"> </w:t>
      </w:r>
      <w:r>
        <w:t xml:space="preserve">— Two letter templates for expert witnesses</w:t>
      </w:r>
    </w:p>
    <w:bookmarkEnd w:id="24"/>
    <w:bookmarkStart w:id="25" w:name="submission-guides"/>
    <w:p>
      <w:pPr>
        <w:pStyle w:val="Heading3"/>
      </w:pPr>
      <w:r>
        <w:t xml:space="preserve">Submission Guides</w:t>
      </w:r>
    </w:p>
    <w:p>
      <w:pPr>
        <w:numPr>
          <w:ilvl w:val="0"/>
          <w:numId w:val="1005"/>
        </w:numPr>
        <w:pStyle w:val="Compact"/>
      </w:pPr>
      <w:r>
        <w:rPr>
          <w:rStyle w:val="VerbatimChar"/>
        </w:rPr>
        <w:t xml:space="preserve">submission_guides/arxiv_submission_guide.md</w:t>
      </w:r>
      <w:r>
        <w:t xml:space="preserve"> </w:t>
      </w:r>
      <w:r>
        <w:t xml:space="preserve">— Step-by-step arXiv preprint submission</w:t>
      </w:r>
    </w:p>
    <w:p>
      <w:r>
        <w:pict>
          <v:rect style="width:0;height:1.5pt" o:hralign="center" o:hrstd="t" o:hr="t"/>
        </w:pict>
      </w:r>
    </w:p>
    <w:bookmarkEnd w:id="25"/>
    <w:bookmarkEnd w:id="26"/>
    <w:bookmarkStart w:id="27" w:name="priority-action-timeline"/>
    <w:p>
      <w:pPr>
        <w:pStyle w:val="Heading2"/>
      </w:pPr>
      <w:r>
        <w:t xml:space="preserve">Priority Action Timeline</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Week</w:t>
            </w:r>
          </w:p>
        </w:tc>
        <w:tc>
          <w:tcPr/>
          <w:p>
            <w:pPr>
              <w:pStyle w:val="Compact"/>
              <w:jc w:val="left"/>
            </w:pPr>
            <w:r>
              <w:t xml:space="preserve">Action</w:t>
            </w:r>
          </w:p>
        </w:tc>
        <w:tc>
          <w:tcPr/>
          <w:p>
            <w:pPr>
              <w:pStyle w:val="Compact"/>
              <w:jc w:val="left"/>
            </w:pPr>
            <w:r>
              <w:t xml:space="preserve">Impact</w:t>
            </w:r>
          </w:p>
        </w:tc>
      </w:tr>
      <w:tr>
        <w:tc>
          <w:tcPr/>
          <w:p>
            <w:pPr>
              <w:pStyle w:val="Compact"/>
              <w:jc w:val="left"/>
            </w:pPr>
            <w:r>
              <w:rPr>
                <w:bCs/>
                <w:b/>
              </w:rPr>
              <w:t xml:space="preserve">This week</w:t>
            </w:r>
          </w:p>
        </w:tc>
        <w:tc>
          <w:tcPr/>
          <w:p>
            <w:pPr>
              <w:pStyle w:val="Compact"/>
              <w:jc w:val="left"/>
            </w:pPr>
            <w:r>
              <w:t xml:space="preserve">Submit Paper 1 abstract to arXiv cs.AI</w:t>
            </w:r>
          </w:p>
        </w:tc>
        <w:tc>
          <w:tcPr/>
          <w:p>
            <w:pPr>
              <w:pStyle w:val="Compact"/>
              <w:jc w:val="left"/>
            </w:pPr>
            <w:r>
              <w:t xml:space="preserve">Satisfies C6 immediately</w:t>
            </w:r>
          </w:p>
        </w:tc>
      </w:tr>
      <w:tr>
        <w:tc>
          <w:tcPr/>
          <w:p>
            <w:pPr>
              <w:pStyle w:val="Compact"/>
              <w:jc w:val="left"/>
            </w:pPr>
            <w:r>
              <w:rPr>
                <w:bCs/>
                <w:b/>
              </w:rPr>
              <w:t xml:space="preserve">This week</w:t>
            </w:r>
          </w:p>
        </w:tc>
        <w:tc>
          <w:tcPr/>
          <w:p>
            <w:pPr>
              <w:pStyle w:val="Compact"/>
              <w:jc w:val="left"/>
            </w:pPr>
            <w:r>
              <w:t xml:space="preserve">Email editor@jamia.org — volunteer as peer reviewer</w:t>
            </w:r>
          </w:p>
        </w:tc>
        <w:tc>
          <w:tcPr/>
          <w:p>
            <w:pPr>
              <w:pStyle w:val="Compact"/>
              <w:jc w:val="left"/>
            </w:pPr>
            <w:r>
              <w:t xml:space="preserve">Starts C4</w:t>
            </w:r>
          </w:p>
        </w:tc>
      </w:tr>
      <w:tr>
        <w:tc>
          <w:tcPr/>
          <w:p>
            <w:pPr>
              <w:pStyle w:val="Compact"/>
              <w:jc w:val="left"/>
            </w:pPr>
            <w:r>
              <w:rPr>
                <w:bCs/>
                <w:b/>
              </w:rPr>
              <w:t xml:space="preserve">2 weeks</w:t>
            </w:r>
          </w:p>
        </w:tc>
        <w:tc>
          <w:tcPr/>
          <w:p>
            <w:pPr>
              <w:pStyle w:val="Compact"/>
              <w:jc w:val="left"/>
            </w:pPr>
            <w:r>
              <w:t xml:space="preserve">Apply Forbes Technology Council</w:t>
            </w:r>
          </w:p>
        </w:tc>
        <w:tc>
          <w:tcPr/>
          <w:p>
            <w:pPr>
              <w:pStyle w:val="Compact"/>
              <w:jc w:val="left"/>
            </w:pPr>
            <w:r>
              <w:t xml:space="preserve">C2 membership</w:t>
            </w:r>
          </w:p>
        </w:tc>
      </w:tr>
      <w:tr>
        <w:tc>
          <w:tcPr/>
          <w:p>
            <w:pPr>
              <w:pStyle w:val="Compact"/>
              <w:jc w:val="left"/>
            </w:pPr>
            <w:r>
              <w:rPr>
                <w:bCs/>
                <w:b/>
              </w:rPr>
              <w:t xml:space="preserve">4 weeks</w:t>
            </w:r>
          </w:p>
        </w:tc>
        <w:tc>
          <w:tcPr/>
          <w:p>
            <w:pPr>
              <w:pStyle w:val="Compact"/>
              <w:jc w:val="left"/>
            </w:pPr>
            <w:r>
              <w:t xml:space="preserve">Pitch Becker’s Hospital Review on PAMA 2027 angle</w:t>
            </w:r>
          </w:p>
        </w:tc>
        <w:tc>
          <w:tcPr/>
          <w:p>
            <w:pPr>
              <w:pStyle w:val="Compact"/>
              <w:jc w:val="left"/>
            </w:pPr>
            <w:r>
              <w:t xml:space="preserve">C3 press</w:t>
            </w:r>
          </w:p>
        </w:tc>
      </w:tr>
      <w:tr>
        <w:tc>
          <w:tcPr/>
          <w:p>
            <w:pPr>
              <w:pStyle w:val="Compact"/>
              <w:jc w:val="left"/>
            </w:pPr>
            <w:r>
              <w:rPr>
                <w:bCs/>
                <w:b/>
              </w:rPr>
              <w:t xml:space="preserve">4 weeks</w:t>
            </w:r>
          </w:p>
        </w:tc>
        <w:tc>
          <w:tcPr/>
          <w:p>
            <w:pPr>
              <w:pStyle w:val="Compact"/>
              <w:jc w:val="left"/>
            </w:pPr>
            <w:r>
              <w:t xml:space="preserve">Apply HIMSS + AMIA membership</w:t>
            </w:r>
          </w:p>
        </w:tc>
        <w:tc>
          <w:tcPr/>
          <w:p>
            <w:pPr>
              <w:pStyle w:val="Compact"/>
              <w:jc w:val="left"/>
            </w:pPr>
            <w:r>
              <w:t xml:space="preserve">C2 membership</w:t>
            </w:r>
          </w:p>
        </w:tc>
      </w:tr>
      <w:tr>
        <w:tc>
          <w:tcPr/>
          <w:p>
            <w:pPr>
              <w:pStyle w:val="Compact"/>
              <w:jc w:val="left"/>
            </w:pPr>
            <w:r>
              <w:rPr>
                <w:bCs/>
                <w:b/>
              </w:rPr>
              <w:t xml:space="preserve">6 weeks</w:t>
            </w:r>
          </w:p>
        </w:tc>
        <w:tc>
          <w:tcPr/>
          <w:p>
            <w:pPr>
              <w:pStyle w:val="Compact"/>
              <w:jc w:val="left"/>
            </w:pPr>
            <w:r>
              <w:t xml:space="preserve">Submit Paper 2 to arXiv</w:t>
            </w:r>
          </w:p>
        </w:tc>
        <w:tc>
          <w:tcPr/>
          <w:p>
            <w:pPr>
              <w:pStyle w:val="Compact"/>
              <w:jc w:val="left"/>
            </w:pPr>
            <w:r>
              <w:t xml:space="preserve">Strengthens C6</w:t>
            </w:r>
          </w:p>
        </w:tc>
      </w:tr>
      <w:tr>
        <w:tc>
          <w:tcPr/>
          <w:p>
            <w:pPr>
              <w:pStyle w:val="Compact"/>
              <w:jc w:val="left"/>
            </w:pPr>
            <w:r>
              <w:rPr>
                <w:bCs/>
                <w:b/>
              </w:rPr>
              <w:t xml:space="preserve">Q4 2026</w:t>
            </w:r>
          </w:p>
        </w:tc>
        <w:tc>
          <w:tcPr/>
          <w:p>
            <w:pPr>
              <w:pStyle w:val="Compact"/>
              <w:jc w:val="left"/>
            </w:pPr>
            <w:r>
              <w:t xml:space="preserve">Paper 5 (pilot results) after lab pilot launch</w:t>
            </w:r>
          </w:p>
        </w:tc>
        <w:tc>
          <w:tcPr/>
          <w:p>
            <w:pPr>
              <w:pStyle w:val="Compact"/>
              <w:jc w:val="left"/>
            </w:pPr>
            <w:r>
              <w:t xml:space="preserve">Strongest C6 evidence</w:t>
            </w:r>
          </w:p>
        </w:tc>
      </w:tr>
    </w:tbl>
    <w:p>
      <w:r>
        <w:pict>
          <v:rect style="width:0;height:1.5pt" o:hralign="center" o:hrstd="t" o:hr="t"/>
        </w:pict>
      </w:r>
    </w:p>
    <w:bookmarkEnd w:id="27"/>
    <w:bookmarkStart w:id="28" w:name="the-dgp-architecture-core-contribution"/>
    <w:p>
      <w:pPr>
        <w:pStyle w:val="Heading2"/>
      </w:pPr>
      <w:r>
        <w:t xml:space="preserve">The DGP Architecture — Core Contribution</w:t>
      </w:r>
    </w:p>
    <w:p>
      <w:pPr>
        <w:pStyle w:val="FirstParagraph"/>
      </w:pPr>
      <w:r>
        <w:rPr>
          <w:bCs/>
          <w:b/>
        </w:rPr>
        <w:t xml:space="preserve">Inventor:</w:t>
      </w:r>
      <w:r>
        <w:t xml:space="preserve"> </w:t>
      </w:r>
      <w:r>
        <w:t xml:space="preserve">Rambabu Vadlamudi |</w:t>
      </w:r>
      <w:r>
        <w:t xml:space="preserve"> </w:t>
      </w:r>
      <w:r>
        <w:rPr>
          <w:bCs/>
          <w:b/>
        </w:rPr>
        <w:t xml:space="preserve">Domain:</w:t>
      </w:r>
      <w:r>
        <w:t xml:space="preserve"> </w:t>
      </w:r>
      <w:r>
        <w:t xml:space="preserve">Healthcare Revenue Cycle Management (RCM)</w:t>
      </w:r>
    </w:p>
    <w:p>
      <w:pPr>
        <w:pStyle w:val="BlockText"/>
      </w:pPr>
      <w:r>
        <w:t xml:space="preserve">Note:</w:t>
      </w:r>
      <w:r>
        <w:t xml:space="preserve"> </w:t>
      </w:r>
      <w:r>
        <w:t xml:space="preserve">“</w:t>
      </w:r>
      <w:r>
        <w:t xml:space="preserve">Neuro-symbolic</w:t>
      </w:r>
      <w:r>
        <w:t xml:space="preserve">”</w:t>
      </w:r>
      <w:r>
        <w:t xml:space="preserve"> </w:t>
      </w:r>
      <w:r>
        <w:t xml:space="preserve">is an extensively published academic term with prior art in diagnosis and clinical decision support. The DGP architecture is Ram’s original coinage, differentiated by domain (administrative RCM, not clinical diagnosis) and specific implementation.</w:t>
      </w:r>
    </w:p>
    <w:p>
      <w:pPr>
        <w:pStyle w:val="FirstParagraph"/>
      </w:pPr>
      <w:r>
        <w:rPr>
          <w:bCs/>
          <w:b/>
        </w:rPr>
        <w:t xml:space="preserve">Layer 1 — Deterministic Policy Engine</w:t>
      </w:r>
      <w:r>
        <w:t xml:space="preserve"> </w:t>
      </w:r>
      <w:r>
        <w:t xml:space="preserve">- 847 rules covering all LCD/NCD/MolDX policies</w:t>
      </w:r>
      <w:r>
        <w:t xml:space="preserve"> </w:t>
      </w:r>
      <w:r>
        <w:t xml:space="preserve">- DEX Z-codes, CPT 81400–81479 series, PLA codes</w:t>
      </w:r>
      <w:r>
        <w:t xml:space="preserve"> </w:t>
      </w:r>
      <w:r>
        <w:t xml:space="preserve">- Zero hallucinations on policy interpretation</w:t>
      </w:r>
    </w:p>
    <w:p>
      <w:pPr>
        <w:pStyle w:val="BodyText"/>
      </w:pPr>
      <w:r>
        <w:rPr>
          <w:bCs/>
          <w:b/>
        </w:rPr>
        <w:t xml:space="preserve">Layer 2 — Generative Clinical Reasoning</w:t>
      </w:r>
      <w:r>
        <w:t xml:space="preserve"> </w:t>
      </w:r>
      <w:r>
        <w:t xml:space="preserve">- LLM (Anthropic Claude API)</w:t>
      </w:r>
      <w:r>
        <w:t xml:space="preserve"> </w:t>
      </w:r>
      <w:r>
        <w:t xml:space="preserve">- Appeal briefs generated in &lt;90 seconds</w:t>
      </w:r>
      <w:r>
        <w:t xml:space="preserve"> </w:t>
      </w:r>
      <w:r>
        <w:t xml:space="preserve">- Retrieves evidence from 14 medical databases in 340ms</w:t>
      </w:r>
    </w:p>
    <w:p>
      <w:pPr>
        <w:pStyle w:val="BodyText"/>
      </w:pPr>
      <w:r>
        <w:rPr>
          <w:bCs/>
          <w:b/>
        </w:rPr>
        <w:t xml:space="preserve">Layer 3 — Predictive Denial Prevention</w:t>
      </w:r>
      <w:r>
        <w:t xml:space="preserve"> </w:t>
      </w:r>
      <w:r>
        <w:t xml:space="preserve">- ML model trained on historical EDI 835 claims data</w:t>
      </w:r>
      <w:r>
        <w:t xml:space="preserve"> </w:t>
      </w:r>
      <w:r>
        <w:t xml:space="preserve">- Pre-submission denial risk scoring</w:t>
      </w:r>
    </w:p>
    <w:p>
      <w:pPr>
        <w:pStyle w:val="BodyText"/>
      </w:pPr>
      <w:r>
        <w:rPr>
          <w:bCs/>
          <w:b/>
        </w:rPr>
        <w:t xml:space="preserve">What makes it original:</w:t>
      </w:r>
      <w:r>
        <w:t xml:space="preserve"> </w:t>
      </w:r>
      <w:r>
        <w:t xml:space="preserve">All prior hybrid AI healthcare architecture papers address clinical DIAGNOSIS. DGP applies the three-layer design to healthcare ADMINISTRATIVE automation (claim denial recovery) under MolDX/LCD/NCD/DEX Z-code compliance — a domain with no prior published work of this kind.</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2026-07-01T05:20:20Z</dcterms:created>
  <dcterms:modified xsi:type="dcterms:W3CDTF">2026-07-01T05:20:20Z</dcterms:modified>
</cp:coreProperties>
</file>

<file path=docProps/custom.xml><?xml version="1.0" encoding="utf-8"?>
<Properties xmlns="http://schemas.openxmlformats.org/officeDocument/2006/custom-properties" xmlns:vt="http://schemas.openxmlformats.org/officeDocument/2006/docPropsVTypes"/>
</file>