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itation-reference-library"/>
    <w:p>
      <w:pPr>
        <w:pStyle w:val="Heading1"/>
      </w:pPr>
      <w:r>
        <w:t xml:space="preserve">Citation Reference Library</w:t>
      </w:r>
    </w:p>
    <w:bookmarkStart w:id="20" w:name="X3afc1880d78b1f029d6bc0bf0a0b3e801635ae2"/>
    <w:p>
      <w:pPr>
        <w:pStyle w:val="Heading2"/>
      </w:pPr>
      <w:r>
        <w:t xml:space="preserve">Ardia Health Labs — EB-1A / EB-2 NIW Immigration Evidence</w:t>
      </w:r>
    </w:p>
    <w:p>
      <w:pPr>
        <w:pStyle w:val="FirstParagraph"/>
      </w:pPr>
      <w:r>
        <w:t xml:space="preserve">All citations sourced from Ardia Health Labs white paper and pitch deck documents.</w:t>
      </w:r>
      <w:r>
        <w:br/>
      </w:r>
      <w:r>
        <w:rPr>
          <w:bCs/>
          <w:b/>
        </w:rPr>
        <w:t xml:space="preserve">⚠️ Note:</w:t>
      </w:r>
      <w:r>
        <w:t xml:space="preserve"> </w:t>
      </w:r>
      <w:r>
        <w:t xml:space="preserve">Verify DOIs for [1] and [3] against original sources before journal submission.</w:t>
      </w:r>
    </w:p>
    <w:p>
      <w:r>
        <w:pict>
          <v:rect style="width:0;height:1.5pt" o:hralign="center" o:hrstd="t" o:hr="t"/>
        </w:pict>
      </w:r>
    </w:p>
    <w:bookmarkEnd w:id="20"/>
    <w:bookmarkStart w:id="21" w:name="nlm-national-library-of-medicine-format"/>
    <w:p>
      <w:pPr>
        <w:pStyle w:val="Heading2"/>
      </w:pPr>
      <w:r>
        <w:t xml:space="preserve">NLM (National Library of Medicine) Format</w:t>
      </w:r>
    </w:p>
    <w:p>
      <w:pPr>
        <w:pStyle w:val="FirstParagraph"/>
      </w:pPr>
      <w:r>
        <w:t xml:space="preserve">[1] Georgetown University / JAMA Network Open. Next Generation Sequencing Denial Rates in Medicare. JAMA Netw Open. 2025 Apr;[vol(iss)]:e[article-id]. doi:[VERIFY]. n=29,919 claims. Key findings: 23.3% overall NGS denial rate; 27.4% post-NCD; 2.76× higher denial odds for independent vs. hospital-based laboratories.</w:t>
      </w:r>
    </w:p>
    <w:p>
      <w:pPr>
        <w:pStyle w:val="BodyText"/>
      </w:pPr>
      <w:r>
        <w:t xml:space="preserve">[2] XiFin, Inc. 2024 Payor Denial Impact Report. San Diego, CA: XiFin; 2024. Analysis of 20,000,000+ laboratory claims. Key findings: Molecular diagnostics denial rate 35.3% — highest across all healthcare specialties.</w:t>
      </w:r>
    </w:p>
    <w:p>
      <w:pPr>
        <w:pStyle w:val="BodyText"/>
      </w:pPr>
      <w:r>
        <w:t xml:space="preserve">[3] Franchetti MK, et al. Pharmacogenomics reimbursement outcomes in US clinical practice. Front Pharmacol. 2023;14:[article-id]. doi:[VERIFY]. Key findings: 46% of PGx claims reimbursed.</w:t>
      </w:r>
    </w:p>
    <w:p>
      <w:pPr>
        <w:pStyle w:val="BodyText"/>
      </w:pPr>
      <w:r>
        <w:t xml:space="preserve">[4] American Clinical Laboratory Association (ACLA). ACLA 2024 Member Survey: Impact of PAMA Reimbursement Reductions on Independent Laboratories. Washington, DC: ACLA; 2024. Key findings: 50%+ of independent laboratory directors considering consolidation or sale if PAMA cuts take effect.</w:t>
      </w:r>
    </w:p>
    <w:p>
      <w:pPr>
        <w:pStyle w:val="BodyText"/>
      </w:pPr>
      <w:r>
        <w:t xml:space="preserve">[5] Healthcare Financial Management Association (HFMA); LigoLab. Laboratory Revenue Recovery Report 2024. Westchester, IL: HFMA; 2024. Key findings: 65% of denied laboratory claims never appealed; appeal win rates 50–80.7%.</w:t>
      </w:r>
    </w:p>
    <w:p>
      <w:pPr>
        <w:pStyle w:val="BodyText"/>
      </w:pPr>
      <w:r>
        <w:t xml:space="preserve">[6] Waystar Health. Form S-1 Registration Statement. Filed with SEC [2024]. AI-driven RCM market valuation $3.5B.</w:t>
      </w:r>
    </w:p>
    <w:p>
      <w:pPr>
        <w:pStyle w:val="BodyText"/>
      </w:pPr>
      <w:r>
        <w:t xml:space="preserve">[7] R1 RCM Inc. Acquisition Announcement. [2024]. $8.9B transaction. Context: Validates scale of AI-driven RCM market; hospital-focused systems do not address independent laboratory molecular diagnostics billing.</w:t>
      </w:r>
    </w:p>
    <w:p>
      <w:pPr>
        <w:pStyle w:val="BodyText"/>
      </w:pPr>
      <w:r>
        <w:t xml:space="preserve">[8] Centers for Medicare &amp; Medicaid Services (CMS). Protected Access to Medication Act (PAMA) — Qualified Infectious Disease Product (QIDP) and Clinical Diagnostic Laboratory Test (CDLT) Reimbursement Schedule. Washington, DC: CMS; [2024 update]. Up to 15%/year reductions beginning 2027; up to 45% cumulative reduction by 2029.</w:t>
      </w:r>
    </w:p>
    <w:p>
      <w:pPr>
        <w:pStyle w:val="BodyText"/>
      </w:pPr>
      <w:r>
        <w:t xml:space="preserve">[9] Texas Legislature. Senate Bill 1188: An Act Relating to Accountability for Artificial Intelligence Systems in Health Care. 89th Leg., Regular Session (2025). Effective September 1, 2025.</w:t>
      </w:r>
    </w:p>
    <w:p>
      <w:pPr>
        <w:pStyle w:val="BodyText"/>
      </w:pPr>
      <w:r>
        <w:t xml:space="preserve">[10] Texas Legislature. House Bill 149: Texas Responsible Artificial Intelligence Governance Act (TRAIGA). 89th Leg., Regular Session (2025). Effective January 1, 2026. Texas is the third state to enact comprehensive AI legislation.</w:t>
      </w:r>
    </w:p>
    <w:p>
      <w:pPr>
        <w:pStyle w:val="BodyText"/>
      </w:pPr>
      <w:r>
        <w:t xml:space="preserve">[11] Centers for Medicare &amp; Medicaid Services; American Medical Association (AMA). MolDX Program: DEX Registration Requirements and CPT Code Framework for Molecular Diagnostics. [2024]. 75,000+ molecular diagnostic tests; under 200 CPT procedure codes; estimated 35%+ coding error rate.</w:t>
      </w:r>
    </w:p>
    <w:p>
      <w:r>
        <w:pict>
          <v:rect style="width:0;height:1.5pt" o:hralign="center" o:hrstd="t" o:hr="t"/>
        </w:pict>
      </w:r>
    </w:p>
    <w:bookmarkEnd w:id="21"/>
    <w:bookmarkStart w:id="22" w:name="apa-7th-edition-format"/>
    <w:p>
      <w:pPr>
        <w:pStyle w:val="Heading2"/>
      </w:pPr>
      <w:r>
        <w:t xml:space="preserve">APA (7th Edition) Format</w:t>
      </w:r>
    </w:p>
    <w:p>
      <w:pPr>
        <w:pStyle w:val="FirstParagraph"/>
      </w:pPr>
      <w:r>
        <w:t xml:space="preserve">[1] Georgetown University Medical Center. (2025, April). Next generation sequencing denial rates in Medicare: A cross-sectional analysis.</w:t>
      </w:r>
      <w:r>
        <w:t xml:space="preserve"> </w:t>
      </w:r>
      <w:r>
        <w:rPr>
          <w:iCs/>
          <w:i/>
        </w:rPr>
        <w:t xml:space="preserve">JAMA Network Open</w:t>
      </w:r>
      <w:r>
        <w:t xml:space="preserve">,</w:t>
      </w:r>
      <w:r>
        <w:t xml:space="preserve"> </w:t>
      </w:r>
      <w:r>
        <w:rPr>
          <w:iCs/>
          <w:i/>
        </w:rPr>
        <w:t xml:space="preserve">[vol]</w:t>
      </w:r>
      <w:r>
        <w:t xml:space="preserve">(</w:t>
      </w:r>
      <w:r>
        <w:rPr>
          <w:iCs/>
          <w:i/>
        </w:rPr>
        <w:t xml:space="preserve">iss</w:t>
      </w:r>
      <w:r>
        <w:t xml:space="preserve">). https://doi.org/[VERIFY] — n=29,919; 23.3% overall; 2.76× independent lab odds.</w:t>
      </w:r>
    </w:p>
    <w:p>
      <w:pPr>
        <w:pStyle w:val="BodyText"/>
      </w:pPr>
      <w:r>
        <w:t xml:space="preserve">[2] XiFin, Inc. (2024).</w:t>
      </w:r>
      <w:r>
        <w:t xml:space="preserve"> </w:t>
      </w:r>
      <w:r>
        <w:rPr>
          <w:iCs/>
          <w:i/>
        </w:rPr>
        <w:t xml:space="preserve">2024 Payor denial impact report</w:t>
      </w:r>
      <w:r>
        <w:t xml:space="preserve"> </w:t>
      </w:r>
      <w:r>
        <w:t xml:space="preserve">[Industry analysis, 20M+ claims]. XiFin. — Molecular Dx: 35.3% denial rate.</w:t>
      </w:r>
    </w:p>
    <w:p>
      <w:pPr>
        <w:pStyle w:val="BodyText"/>
      </w:pPr>
      <w:r>
        <w:t xml:space="preserve">[3] Franchetti, M. K., et al. (2023). Pharmacogenomics reimbursement outcomes in US clinical practice.</w:t>
      </w:r>
      <w:r>
        <w:t xml:space="preserve"> </w:t>
      </w:r>
      <w:r>
        <w:rPr>
          <w:iCs/>
          <w:i/>
        </w:rPr>
        <w:t xml:space="preserve">Frontiers in Pharmacology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, [article]. https://doi.org/[VERIFY] — 46% PGx claims reimbursed.</w:t>
      </w:r>
    </w:p>
    <w:p>
      <w:pPr>
        <w:pStyle w:val="BodyText"/>
      </w:pPr>
      <w:r>
        <w:t xml:space="preserve">[4] American Clinical Laboratory Association. (2024).</w:t>
      </w:r>
      <w:r>
        <w:t xml:space="preserve"> </w:t>
      </w:r>
      <w:r>
        <w:rPr>
          <w:iCs/>
          <w:i/>
        </w:rPr>
        <w:t xml:space="preserve">ACLA 2024 member survey: Impact of PAMA reimbursement reductions on independent laboratories</w:t>
      </w:r>
      <w:r>
        <w:t xml:space="preserve">. ACLA. — 50%+ labs considering exit.</w:t>
      </w:r>
    </w:p>
    <w:p>
      <w:pPr>
        <w:pStyle w:val="BodyText"/>
      </w:pPr>
      <w:r>
        <w:t xml:space="preserve">[5] Healthcare Financial Management Association &amp; LigoLab. (2024).</w:t>
      </w:r>
      <w:r>
        <w:t xml:space="preserve"> </w:t>
      </w:r>
      <w:r>
        <w:rPr>
          <w:iCs/>
          <w:i/>
        </w:rPr>
        <w:t xml:space="preserve">Laboratory revenue recovery report 2024</w:t>
      </w:r>
      <w:r>
        <w:t xml:space="preserve">. HFMA. — 65% denials never appealed; 50–80.7% win rate.</w:t>
      </w:r>
    </w:p>
    <w:p>
      <w:pPr>
        <w:pStyle w:val="BodyText"/>
      </w:pPr>
      <w:r>
        <w:t xml:space="preserve">[6] Waystar Health. (2024).</w:t>
      </w:r>
      <w:r>
        <w:t xml:space="preserve"> </w:t>
      </w:r>
      <w:r>
        <w:rPr>
          <w:iCs/>
          <w:i/>
        </w:rPr>
        <w:t xml:space="preserve">Form S-1 registration statement</w:t>
      </w:r>
      <w:r>
        <w:t xml:space="preserve">. U.S. Securities and Exchange Commission.</w:t>
      </w:r>
    </w:p>
    <w:p>
      <w:pPr>
        <w:pStyle w:val="BodyText"/>
      </w:pPr>
      <w:r>
        <w:t xml:space="preserve">[7] R1 RCM Inc. (2024).</w:t>
      </w:r>
      <w:r>
        <w:t xml:space="preserve"> </w:t>
      </w:r>
      <w:r>
        <w:rPr>
          <w:iCs/>
          <w:i/>
        </w:rPr>
        <w:t xml:space="preserve">R1 RCM acquisition announcement</w:t>
      </w:r>
      <w:r>
        <w:t xml:space="preserve"> </w:t>
      </w:r>
      <w:r>
        <w:t xml:space="preserve">[$8.9B]. R1 RCM.</w:t>
      </w:r>
    </w:p>
    <w:p>
      <w:pPr>
        <w:pStyle w:val="BodyText"/>
      </w:pPr>
      <w:r>
        <w:t xml:space="preserve">[8] Centers for Medicare &amp; Medicaid Services. (2024).</w:t>
      </w:r>
      <w:r>
        <w:t xml:space="preserve"> </w:t>
      </w:r>
      <w:r>
        <w:rPr>
          <w:iCs/>
          <w:i/>
        </w:rPr>
        <w:t xml:space="preserve">Protected Access to Medication Act (PAMA) CDLT reimbursement schedule</w:t>
      </w:r>
      <w:r>
        <w:t xml:space="preserve">. CMS. — Up to 45% cumulative cut by 2029.</w:t>
      </w:r>
    </w:p>
    <w:p>
      <w:pPr>
        <w:pStyle w:val="BodyText"/>
      </w:pPr>
      <w:r>
        <w:t xml:space="preserve">[9] Texas Legislature. (2025).</w:t>
      </w:r>
      <w:r>
        <w:t xml:space="preserve"> </w:t>
      </w:r>
      <w:r>
        <w:rPr>
          <w:iCs/>
          <w:i/>
        </w:rPr>
        <w:t xml:space="preserve">Senate Bill 1188: Accountability for artificial intelligence systems in health care</w:t>
      </w:r>
      <w:r>
        <w:t xml:space="preserve"> </w:t>
      </w:r>
      <w:r>
        <w:t xml:space="preserve">(89th Leg.). — Eff. September 1, 2025.</w:t>
      </w:r>
    </w:p>
    <w:p>
      <w:pPr>
        <w:pStyle w:val="BodyText"/>
      </w:pPr>
      <w:r>
        <w:t xml:space="preserve">[10] Texas Legislature. (2025).</w:t>
      </w:r>
      <w:r>
        <w:t xml:space="preserve"> </w:t>
      </w:r>
      <w:r>
        <w:rPr>
          <w:iCs/>
          <w:i/>
        </w:rPr>
        <w:t xml:space="preserve">House Bill 149: Texas Responsible Artificial Intelligence Governance Act (TRAIGA)</w:t>
      </w:r>
      <w:r>
        <w:t xml:space="preserve"> </w:t>
      </w:r>
      <w:r>
        <w:t xml:space="preserve">(89th Leg.). — Eff. January 1, 2026.</w:t>
      </w:r>
    </w:p>
    <w:p>
      <w:pPr>
        <w:pStyle w:val="BodyText"/>
      </w:pPr>
      <w:r>
        <w:t xml:space="preserve">[11] Centers for Medicare &amp; Medicaid Services &amp; American Medical Association. (2024).</w:t>
      </w:r>
      <w:r>
        <w:t xml:space="preserve"> </w:t>
      </w:r>
      <w:r>
        <w:rPr>
          <w:iCs/>
          <w:i/>
        </w:rPr>
        <w:t xml:space="preserve">MolDX program DEX registration and CPT framework for molecular diagnostics</w:t>
      </w:r>
      <w:r>
        <w:t xml:space="preserve">. CMS/AMA.</w:t>
      </w:r>
    </w:p>
    <w:p>
      <w:r>
        <w:pict>
          <v:rect style="width:0;height:1.5pt" o:hralign="center" o:hrstd="t" o:hr="t"/>
        </w:pict>
      </w:r>
    </w:p>
    <w:bookmarkEnd w:id="22"/>
    <w:bookmarkStart w:id="23" w:name="chicago-author-date-format"/>
    <w:p>
      <w:pPr>
        <w:pStyle w:val="Heading2"/>
      </w:pPr>
      <w:r>
        <w:t xml:space="preserve">Chicago (Author-Date) Format</w:t>
      </w:r>
    </w:p>
    <w:p>
      <w:pPr>
        <w:pStyle w:val="FirstParagraph"/>
      </w:pPr>
      <w:r>
        <w:t xml:space="preserve">[1] Georgetown University Medical Center. 2025.</w:t>
      </w:r>
      <w:r>
        <w:t xml:space="preserve"> </w:t>
      </w:r>
      <w:r>
        <w:t xml:space="preserve">“</w:t>
      </w:r>
      <w:r>
        <w:t xml:space="preserve">Next Generation Sequencing Denial Rates in Medicare.</w:t>
      </w:r>
      <w:r>
        <w:t xml:space="preserve">”</w:t>
      </w:r>
      <w:r>
        <w:t xml:space="preserve"> </w:t>
      </w:r>
      <w:r>
        <w:rPr>
          <w:iCs/>
          <w:i/>
        </w:rPr>
        <w:t xml:space="preserve">JAMA Network Open</w:t>
      </w:r>
      <w:r>
        <w:t xml:space="preserve"> </w:t>
      </w:r>
      <w:r>
        <w:t xml:space="preserve">[vol] ([iss]). doi:[VERIFY].</w:t>
      </w:r>
    </w:p>
    <w:p>
      <w:pPr>
        <w:pStyle w:val="BodyText"/>
      </w:pPr>
      <w:r>
        <w:t xml:space="preserve">[2] XiFin, Inc. 2024.</w:t>
      </w:r>
      <w:r>
        <w:t xml:space="preserve"> </w:t>
      </w:r>
      <w:r>
        <w:rPr>
          <w:iCs/>
          <w:i/>
        </w:rPr>
        <w:t xml:space="preserve">2024 Payor Denial Impact Report</w:t>
      </w:r>
      <w:r>
        <w:t xml:space="preserve">. San Diego: XiFin.</w:t>
      </w:r>
    </w:p>
    <w:p>
      <w:pPr>
        <w:pStyle w:val="BodyText"/>
      </w:pPr>
      <w:r>
        <w:t xml:space="preserve">[3] Franchetti, M. K. et al. 2023.</w:t>
      </w:r>
      <w:r>
        <w:t xml:space="preserve"> </w:t>
      </w:r>
      <w:r>
        <w:t xml:space="preserve">“</w:t>
      </w:r>
      <w:r>
        <w:t xml:space="preserve">Pharmacogenomics Reimbursement Outcomes in US Clinical Practice.</w:t>
      </w:r>
      <w:r>
        <w:t xml:space="preserve">”</w:t>
      </w:r>
      <w:r>
        <w:t xml:space="preserve"> </w:t>
      </w:r>
      <w:r>
        <w:rPr>
          <w:iCs/>
          <w:i/>
        </w:rPr>
        <w:t xml:space="preserve">Frontiers in Pharmacology</w:t>
      </w:r>
      <w:r>
        <w:t xml:space="preserve"> </w:t>
      </w:r>
      <w:r>
        <w:t xml:space="preserve">14: [article]. doi:[VERIFY].</w:t>
      </w:r>
    </w:p>
    <w:p>
      <w:pPr>
        <w:pStyle w:val="BodyText"/>
      </w:pPr>
      <w:r>
        <w:t xml:space="preserve">[4] American Clinical Laboratory Association (ACLA). 2024.</w:t>
      </w:r>
      <w:r>
        <w:t xml:space="preserve"> </w:t>
      </w:r>
      <w:r>
        <w:rPr>
          <w:iCs/>
          <w:i/>
        </w:rPr>
        <w:t xml:space="preserve">ACLA 2024 Member Survey: Impact of PAMA Reimbursement Reductions on Independent Laboratories</w:t>
      </w:r>
      <w:r>
        <w:t xml:space="preserve">. Washington, DC: ACLA.</w:t>
      </w:r>
    </w:p>
    <w:p>
      <w:pPr>
        <w:pStyle w:val="BodyText"/>
      </w:pPr>
      <w:r>
        <w:t xml:space="preserve">[5] Healthcare Financial Management Association and LigoLab. 2024.</w:t>
      </w:r>
      <w:r>
        <w:t xml:space="preserve"> </w:t>
      </w:r>
      <w:r>
        <w:rPr>
          <w:iCs/>
          <w:i/>
        </w:rPr>
        <w:t xml:space="preserve">Laboratory Revenue Recovery Report 2024</w:t>
      </w:r>
      <w:r>
        <w:t xml:space="preserve">. Westchester, IL: HFMA.</w:t>
      </w:r>
    </w:p>
    <w:p>
      <w:pPr>
        <w:pStyle w:val="BodyText"/>
      </w:pPr>
      <w:r>
        <w:t xml:space="preserve">[6] Waystar Health. 2024.</w:t>
      </w:r>
      <w:r>
        <w:t xml:space="preserve"> </w:t>
      </w:r>
      <w:r>
        <w:rPr>
          <w:iCs/>
          <w:i/>
        </w:rPr>
        <w:t xml:space="preserve">Form S-1 Registration Statement</w:t>
      </w:r>
      <w:r>
        <w:t xml:space="preserve">. Washington, DC: SEC.</w:t>
      </w:r>
    </w:p>
    <w:p>
      <w:pPr>
        <w:pStyle w:val="BodyText"/>
      </w:pPr>
      <w:r>
        <w:t xml:space="preserve">[7] R1 RCM Inc. 2024.</w:t>
      </w:r>
      <w:r>
        <w:t xml:space="preserve"> </w:t>
      </w:r>
      <w:r>
        <w:rPr>
          <w:iCs/>
          <w:i/>
        </w:rPr>
        <w:t xml:space="preserve">Acquisition Announcement</w:t>
      </w:r>
      <w:r>
        <w:t xml:space="preserve">. Chicago: R1 RCM.</w:t>
      </w:r>
    </w:p>
    <w:p>
      <w:pPr>
        <w:pStyle w:val="BodyText"/>
      </w:pPr>
      <w:r>
        <w:t xml:space="preserve">[8] Centers for Medicare &amp; Medicaid Services. 2024.</w:t>
      </w:r>
      <w:r>
        <w:t xml:space="preserve"> </w:t>
      </w:r>
      <w:r>
        <w:rPr>
          <w:iCs/>
          <w:i/>
        </w:rPr>
        <w:t xml:space="preserve">PAMA CDLT Reimbursement Schedule</w:t>
      </w:r>
      <w:r>
        <w:t xml:space="preserve">. Baltimore: CMS.</w:t>
      </w:r>
    </w:p>
    <w:p>
      <w:pPr>
        <w:pStyle w:val="BodyText"/>
      </w:pPr>
      <w:r>
        <w:t xml:space="preserve">[9] Texas Legislature. 2025.</w:t>
      </w:r>
      <w:r>
        <w:t xml:space="preserve"> </w:t>
      </w:r>
      <w:r>
        <w:rPr>
          <w:iCs/>
          <w:i/>
        </w:rPr>
        <w:t xml:space="preserve">Senate Bill 1188</w:t>
      </w:r>
      <w:r>
        <w:t xml:space="preserve">. Austin: 89th Texas Legislature.</w:t>
      </w:r>
    </w:p>
    <w:p>
      <w:pPr>
        <w:pStyle w:val="BodyText"/>
      </w:pPr>
      <w:r>
        <w:t xml:space="preserve">[10] Texas Legislature. 2025.</w:t>
      </w:r>
      <w:r>
        <w:t xml:space="preserve"> </w:t>
      </w:r>
      <w:r>
        <w:rPr>
          <w:iCs/>
          <w:i/>
        </w:rPr>
        <w:t xml:space="preserve">House Bill 149 — TRAIGA</w:t>
      </w:r>
      <w:r>
        <w:t xml:space="preserve">. Austin: 89th Texas Legislature.</w:t>
      </w:r>
    </w:p>
    <w:p>
      <w:pPr>
        <w:pStyle w:val="BodyText"/>
      </w:pPr>
      <w:r>
        <w:t xml:space="preserve">[11] Centers for Medicare &amp; Medicaid Services and American Medical Association. 2024.</w:t>
      </w:r>
      <w:r>
        <w:t xml:space="preserve"> </w:t>
      </w:r>
      <w:r>
        <w:rPr>
          <w:iCs/>
          <w:i/>
        </w:rPr>
        <w:t xml:space="preserve">MolDX Program and CPT Framework for Molecular Diagnostics</w:t>
      </w:r>
      <w:r>
        <w:t xml:space="preserve">. Baltimore/Chicago: CMS/AMA.</w:t>
      </w:r>
    </w:p>
    <w:p>
      <w:r>
        <w:pict>
          <v:rect style="width:0;height:1.5pt" o:hralign="center" o:hrstd="t" o:hr="t"/>
        </w:pict>
      </w:r>
    </w:p>
    <w:bookmarkEnd w:id="23"/>
    <w:bookmarkStart w:id="24" w:name="key-data-points-for-immigration-filings"/>
    <w:p>
      <w:pPr>
        <w:pStyle w:val="Heading2"/>
      </w:pPr>
      <w:r>
        <w:t xml:space="preserve">Key Data Points for Immigration Filings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35.3% molecular Dx denial rate — highest in 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XiFin 2024 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2.76× higher denial odds for independent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 2025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23.3% NGS denial rate (27.4% post-NCD)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 2025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Paper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46% PGx claims reimbursed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Frontiers Pharmacology 2023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65% of denied claims never appealed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HFMA/LigoLab 2024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50–80.7% appeal 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HFMA/LigoLab 2024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$10–12B annual preventable revenue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[2][5]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50%+ labs considering exit if PAMA takes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ACLA 2024 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45% cumulative Medicare cut by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PAMA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7,000+ CLIA-certified independent labs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$3.5B Waystar IPO + $8.9B R1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 (market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SB 1188 — first healthcare AI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P3, Paper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TRAIGA — 3rd state AI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P3, Paper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75,000 molecular tests / &lt;200 CPT codes / 35%+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CMS/AMA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1, Paper 2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2026-07-01T05:20:19Z</dcterms:created>
  <dcterms:modified xsi:type="dcterms:W3CDTF">2026-07-01T05:20:19Z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