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3CD8D">
      <w:pPr>
        <w:spacing w:after="40" w:line="276" w:lineRule="auto"/>
        <w:jc w:val="center"/>
      </w:pPr>
      <w:r>
        <w:rPr>
          <w:rFonts w:ascii="Calibri" w:hAnsi="Calibri"/>
          <w:b/>
          <w:color w:val="1F4E79"/>
          <w:sz w:val="24"/>
        </w:rPr>
        <w:t>B.Tech Capstone Project Review-2</w:t>
      </w:r>
      <w:r>
        <w:rPr>
          <w:rFonts w:ascii="Calibri" w:hAnsi="Calibri"/>
          <w:b/>
          <w:color w:val="1F4E79"/>
          <w:sz w:val="24"/>
        </w:rPr>
        <w:br w:type="textWrapping"/>
      </w:r>
      <w:r>
        <w:rPr>
          <w:rFonts w:ascii="Calibri" w:hAnsi="Calibri"/>
          <w:b/>
          <w:color w:val="102C57"/>
          <w:sz w:val="36"/>
        </w:rPr>
        <w:t>DevSecOps Command Console:</w:t>
      </w:r>
      <w:r>
        <w:rPr>
          <w:rFonts w:ascii="Calibri" w:hAnsi="Calibri"/>
          <w:b/>
          <w:color w:val="102C57"/>
          <w:sz w:val="36"/>
        </w:rPr>
        <w:br w:type="textWrapping"/>
      </w:r>
      <w:r>
        <w:rPr>
          <w:rFonts w:ascii="Calibri" w:hAnsi="Calibri"/>
          <w:b/>
          <w:color w:val="102C57"/>
          <w:sz w:val="36"/>
        </w:rPr>
        <w:t>A Secure Linux-Based Automation and System Management Platform</w:t>
      </w:r>
      <w:r>
        <w:rPr>
          <w:rFonts w:ascii="Calibri" w:hAnsi="Calibri"/>
          <w:b/>
          <w:color w:val="102C57"/>
          <w:sz w:val="36"/>
        </w:rPr>
        <w:br w:type="textWrapping"/>
      </w:r>
    </w:p>
    <w:p w14:paraId="3D29A749">
      <w:pPr>
        <w:spacing w:after="240" w:line="276" w:lineRule="auto"/>
        <w:jc w:val="center"/>
      </w:pPr>
      <w:r>
        <w:rPr>
          <w:rFonts w:ascii="Calibri" w:hAnsi="Calibri"/>
          <w:i/>
          <w:color w:val="64748B"/>
          <w:sz w:val="21"/>
        </w:rPr>
        <w:t>Comprehensive Literature Review, Critical Analysis, Gap Analysis &amp; System Design</w:t>
      </w:r>
      <w:r>
        <w:rPr>
          <w:rFonts w:ascii="Calibri" w:hAnsi="Calibri"/>
          <w:i/>
          <w:color w:val="64748B"/>
          <w:sz w:val="21"/>
        </w:rPr>
        <w:br w:type="textWrapping"/>
      </w:r>
      <w:r>
        <w:rPr>
          <w:rFonts w:ascii="Calibri" w:hAnsi="Calibri"/>
          <w:i/>
          <w:color w:val="64748B"/>
          <w:sz w:val="21"/>
        </w:rPr>
        <w:t>Prompt: devshell&gt;  |  Scheduled Review: Tuesday, 18th August</w:t>
      </w:r>
    </w:p>
    <w:tbl>
      <w:tblPr>
        <w:tblStyle w:val="12"/>
        <w:tblW w:w="0" w:type="auto"/>
        <w:jc w:val="center"/>
        <w:tblLayout w:type="fixed"/>
        <w:tblCellMar>
          <w:top w:w="0" w:type="dxa"/>
          <w:left w:w="108" w:type="dxa"/>
          <w:bottom w:w="0" w:type="dxa"/>
          <w:right w:w="108" w:type="dxa"/>
        </w:tblCellMar>
      </w:tblPr>
      <w:tblGrid>
        <w:gridCol w:w="9360"/>
      </w:tblGrid>
      <w:tr w14:paraId="2848EC5B">
        <w:tblPrEx>
          <w:tblCellMar>
            <w:top w:w="0" w:type="dxa"/>
            <w:left w:w="108" w:type="dxa"/>
            <w:bottom w:w="0" w:type="dxa"/>
            <w:right w:w="108" w:type="dxa"/>
          </w:tblCellMar>
        </w:tblPrEx>
        <w:trPr>
          <w:jc w:val="center"/>
        </w:trPr>
        <w:tc>
          <w:tcPr>
            <w:tcW w:w="9360" w:type="dxa"/>
            <w:tcBorders>
              <w:top w:val="nil"/>
              <w:left w:val="single" w:color="1F4E79" w:sz="24" w:space="0"/>
              <w:bottom w:val="nil"/>
              <w:right w:val="nil"/>
            </w:tcBorders>
            <w:shd w:val="clear" w:color="auto" w:fill="F2F5F9"/>
            <w:tcMar>
              <w:top w:w="120" w:type="dxa"/>
              <w:left w:w="160" w:type="dxa"/>
              <w:bottom w:w="120" w:type="dxa"/>
              <w:right w:w="160" w:type="dxa"/>
            </w:tcMar>
          </w:tcPr>
          <w:p w14:paraId="2EF24839">
            <w:pPr>
              <w:spacing w:before="40" w:after="40"/>
            </w:pPr>
            <w:r>
              <w:rPr>
                <w:rFonts w:ascii="Calibri" w:hAnsi="Calibri"/>
                <w:b/>
                <w:color w:val="102C57"/>
                <w:sz w:val="20"/>
              </w:rPr>
              <w:t>📌 Review-2 Evaluation Criteria &amp; Score Distribution (50 Marks Total)</w:t>
            </w:r>
            <w:r>
              <w:rPr>
                <w:rFonts w:ascii="Calibri" w:hAnsi="Calibri"/>
                <w:b/>
                <w:color w:val="102C57"/>
                <w:sz w:val="20"/>
              </w:rPr>
              <w:br w:type="textWrapping"/>
            </w:r>
            <w:r>
              <w:rPr>
                <w:rFonts w:ascii="Calibri" w:hAnsi="Calibri"/>
                <w:color w:val="2D3748"/>
                <w:sz w:val="19"/>
              </w:rPr>
              <w:t>1. Relevance to Project Title (10 Marks): Direct alignment with DevSecOps, Linux systems programming &amp; automation.</w:t>
            </w:r>
            <w:r>
              <w:rPr>
                <w:rFonts w:ascii="Calibri" w:hAnsi="Calibri"/>
                <w:color w:val="2D3748"/>
                <w:sz w:val="19"/>
              </w:rPr>
              <w:br w:type="textWrapping"/>
            </w:r>
            <w:r>
              <w:rPr>
                <w:rFonts w:ascii="Calibri" w:hAnsi="Calibri"/>
                <w:color w:val="2D3748"/>
                <w:sz w:val="19"/>
              </w:rPr>
              <w:t>2. Depth &amp; Quality of Literature Review (10 Marks): Methodology, techniques, datasets, and verified findings.</w:t>
            </w:r>
            <w:r>
              <w:rPr>
                <w:rFonts w:ascii="Calibri" w:hAnsi="Calibri"/>
                <w:color w:val="2D3748"/>
                <w:sz w:val="19"/>
              </w:rPr>
              <w:br w:type="textWrapping"/>
            </w:r>
            <w:r>
              <w:rPr>
                <w:rFonts w:ascii="Calibri" w:hAnsi="Calibri"/>
                <w:color w:val="2D3748"/>
                <w:sz w:val="19"/>
              </w:rPr>
              <w:t>3. Critical Analysis &amp; Synthesis (10 Marks): Cross-comparison of strengths, limitations, and thematic learnings.</w:t>
            </w:r>
            <w:r>
              <w:rPr>
                <w:rFonts w:ascii="Calibri" w:hAnsi="Calibri"/>
                <w:color w:val="2D3748"/>
                <w:sz w:val="19"/>
              </w:rPr>
              <w:br w:type="textWrapping"/>
            </w:r>
            <w:r>
              <w:rPr>
                <w:rFonts w:ascii="Calibri" w:hAnsi="Calibri"/>
                <w:color w:val="2D3748"/>
                <w:sz w:val="19"/>
              </w:rPr>
              <w:t>4. Gap Analysis (10 Marks): Evidence-based identification of unaddressed areas and module-level solutions.</w:t>
            </w:r>
            <w:r>
              <w:rPr>
                <w:rFonts w:ascii="Calibri" w:hAnsi="Calibri"/>
                <w:color w:val="2D3748"/>
                <w:sz w:val="19"/>
              </w:rPr>
              <w:br w:type="textWrapping"/>
            </w:r>
            <w:r>
              <w:rPr>
                <w:rFonts w:ascii="Calibri" w:hAnsi="Calibri"/>
                <w:color w:val="2D3748"/>
                <w:sz w:val="19"/>
              </w:rPr>
              <w:t>5. Presentation &amp; Viva Readiness (10 Marks): Structured presentation, professional delivery, and 20+ viva answers.</w:t>
            </w:r>
          </w:p>
        </w:tc>
      </w:tr>
    </w:tbl>
    <w:p w14:paraId="018F0053">
      <w:pPr>
        <w:spacing w:after="80"/>
      </w:pPr>
    </w:p>
    <w:p w14:paraId="2CB0ED52">
      <w:pPr>
        <w:pStyle w:val="2"/>
        <w:spacing w:before="320" w:after="80"/>
      </w:pPr>
      <w:r>
        <w:rPr>
          <w:rFonts w:ascii="Calibri" w:hAnsi="Calibri"/>
          <w:b/>
          <w:color w:val="102C57"/>
          <w:sz w:val="30"/>
        </w:rPr>
        <w:t>1. Introduction &amp; Background</w:t>
      </w:r>
    </w:p>
    <w:p w14:paraId="75E85181">
      <w:pPr>
        <w:spacing w:after="80" w:line="276" w:lineRule="auto"/>
        <w:jc w:val="left"/>
      </w:pPr>
      <w:r>
        <w:rPr>
          <w:rFonts w:ascii="Calibri" w:hAnsi="Calibri"/>
          <w:b w:val="0"/>
          <w:i w:val="0"/>
          <w:color w:val="2D3748"/>
          <w:sz w:val="21"/>
        </w:rPr>
        <w:t>Modern enterprise IT infrastructures and continuous software delivery workflows demand rapid deployment, continuous operational visibility, and automated security controls. The DevSecOps paradigm represents the convergence of software development (Dev), security assurance (Sec), and operational engineering (Ops), advocating that security must be integrated seamlessly across all phases of the software lifecycle rather than treated as a peripheral audit check.</w:t>
      </w:r>
    </w:p>
    <w:p w14:paraId="266A21FA">
      <w:pPr>
        <w:spacing w:after="80" w:line="276" w:lineRule="auto"/>
        <w:jc w:val="left"/>
      </w:pPr>
      <w:r>
        <w:rPr>
          <w:rFonts w:ascii="Calibri" w:hAnsi="Calibri"/>
          <w:b w:val="0"/>
          <w:i w:val="0"/>
          <w:color w:val="2D3748"/>
          <w:sz w:val="21"/>
        </w:rPr>
        <w:t>Despite widespread adoption of continuous integration and continuous deployment (CI/CD) pipelines at the cloud level, local and edge Linux host administration remains heavily fragmented. System administrators and operations engineers are forced to switch between multiple standalone utilities (e.g., Bash for execution, cron for scheduling, tar/rsync for backups, top/htop for monitoring, and auditd for security logging). This tool proliferation introduces substantial cognitive overhead, increases the likelihood of operational misconfigurations, and creates severe security blindspots.</w:t>
      </w:r>
    </w:p>
    <w:p w14:paraId="27BF8E63">
      <w:pPr>
        <w:spacing w:after="80" w:line="276" w:lineRule="auto"/>
        <w:jc w:val="left"/>
      </w:pPr>
      <w:r>
        <w:rPr>
          <w:rFonts w:ascii="Calibri" w:hAnsi="Calibri"/>
          <w:b w:val="0"/>
          <w:i w:val="0"/>
          <w:color w:val="2D3748"/>
          <w:sz w:val="21"/>
        </w:rPr>
        <w:t>The DevSecOps Command Console (with the interactive prompt `devshell&gt;`) is designed as a secure, unified, C-based Linux command shell. It bridges high-level DevSecOps operations (build, deploy, automated backup, task scheduling) with low-level Linux POSIX systems programming primitives (fork, exec, waitpid, pipes, signal handling, /proc virtual filesystem telemetry, pthreads, and audit logging).</w:t>
      </w:r>
    </w:p>
    <w:p w14:paraId="17677718">
      <w:pPr>
        <w:pStyle w:val="2"/>
        <w:spacing w:before="320" w:after="80"/>
      </w:pPr>
      <w:r>
        <w:rPr>
          <w:rFonts w:ascii="Calibri" w:hAnsi="Calibri"/>
          <w:b/>
          <w:color w:val="102C57"/>
          <w:sz w:val="30"/>
        </w:rPr>
        <w:t>2. Research Taxonomy &amp; Focus Areas</w:t>
      </w:r>
    </w:p>
    <w:p w14:paraId="35A9B8DE">
      <w:pPr>
        <w:spacing w:after="80" w:line="276" w:lineRule="auto"/>
        <w:jc w:val="left"/>
      </w:pPr>
      <w:r>
        <w:rPr>
          <w:rFonts w:ascii="Calibri" w:hAnsi="Calibri"/>
          <w:b w:val="0"/>
          <w:i w:val="0"/>
          <w:color w:val="2D3748"/>
          <w:sz w:val="21"/>
        </w:rPr>
        <w:t>To establish a rigorous, evidence-based academic foundation, the literature review investigates 14 peer-reviewed candidate papers across 10 critical systems and DevSecOps research areas:</w:t>
      </w:r>
    </w:p>
    <w:p w14:paraId="4CB92F5E">
      <w:pPr>
        <w:spacing w:after="40"/>
        <w:ind w:left="288"/>
      </w:pPr>
      <w:r>
        <w:rPr>
          <w:rFonts w:ascii="Calibri" w:hAnsi="Calibri"/>
          <w:b/>
          <w:color w:val="1F4E79"/>
          <w:sz w:val="20"/>
        </w:rPr>
        <w:t xml:space="preserve">• A. DevOps &amp; DevSecOps Automation: </w:t>
      </w:r>
      <w:r>
        <w:rPr>
          <w:rFonts w:ascii="Calibri" w:hAnsi="Calibri"/>
          <w:color w:val="2D3748"/>
          <w:sz w:val="20"/>
        </w:rPr>
        <w:t>Pipeline integration, continuous deployment governance, and security automation tooling.</w:t>
      </w:r>
    </w:p>
    <w:p w14:paraId="2F60B1FE">
      <w:pPr>
        <w:spacing w:after="40"/>
        <w:ind w:left="288"/>
      </w:pPr>
      <w:r>
        <w:rPr>
          <w:rFonts w:ascii="Calibri" w:hAnsi="Calibri"/>
          <w:b/>
          <w:color w:val="1F4E79"/>
          <w:sz w:val="20"/>
        </w:rPr>
        <w:t xml:space="preserve">• B. Linux Shell &amp; Command Interpreters: </w:t>
      </w:r>
      <w:r>
        <w:rPr>
          <w:rFonts w:ascii="Calibri" w:hAnsi="Calibri"/>
          <w:color w:val="2D3748"/>
          <w:sz w:val="20"/>
        </w:rPr>
        <w:t>REPL architectures, POSIX grammar parsing, command tokenization, and shell state safety.</w:t>
      </w:r>
    </w:p>
    <w:p w14:paraId="2B836381">
      <w:pPr>
        <w:spacing w:after="40"/>
        <w:ind w:left="288"/>
      </w:pPr>
      <w:r>
        <w:rPr>
          <w:rFonts w:ascii="Calibri" w:hAnsi="Calibri"/>
          <w:b/>
          <w:color w:val="1F4E79"/>
          <w:sz w:val="20"/>
        </w:rPr>
        <w:t xml:space="preserve">• C. Process Lifecycle Management: </w:t>
      </w:r>
      <w:r>
        <w:rPr>
          <w:rFonts w:ascii="Calibri" w:hAnsi="Calibri"/>
          <w:color w:val="2D3748"/>
          <w:sz w:val="20"/>
        </w:rPr>
        <w:t>Process creation (fork), binary execution (execvp), reaping (waitpid), and zombie prevention.</w:t>
      </w:r>
    </w:p>
    <w:p w14:paraId="33670D30">
      <w:pPr>
        <w:spacing w:after="40"/>
        <w:ind w:left="288"/>
      </w:pPr>
      <w:r>
        <w:rPr>
          <w:rFonts w:ascii="Calibri" w:hAnsi="Calibri"/>
          <w:b/>
          <w:color w:val="1F4E79"/>
          <w:sz w:val="20"/>
        </w:rPr>
        <w:t xml:space="preserve">• D. IPC and Signal Handling: </w:t>
      </w:r>
      <w:r>
        <w:rPr>
          <w:rFonts w:ascii="Calibri" w:hAnsi="Calibri"/>
          <w:color w:val="2D3748"/>
          <w:sz w:val="20"/>
        </w:rPr>
        <w:t>Anonymous pipes (pipe), named FIFOs (mkfifo), and asynchronous signal handlers (SIGINT, SIGCHLD).</w:t>
      </w:r>
    </w:p>
    <w:p w14:paraId="0DD50E6F">
      <w:pPr>
        <w:spacing w:after="40"/>
        <w:ind w:left="288"/>
      </w:pPr>
      <w:r>
        <w:rPr>
          <w:rFonts w:ascii="Calibri" w:hAnsi="Calibri"/>
          <w:b/>
          <w:color w:val="1F4E79"/>
          <w:sz w:val="20"/>
        </w:rPr>
        <w:t xml:space="preserve">• E. Memory Management &amp; /proc: </w:t>
      </w:r>
      <w:r>
        <w:rPr>
          <w:rFonts w:ascii="Calibri" w:hAnsi="Calibri"/>
          <w:color w:val="2D3748"/>
          <w:sz w:val="20"/>
        </w:rPr>
        <w:t>Virtual memory profiling, heap/stack management, and kernel introspection via /proc/stat &amp; /proc/meminfo.</w:t>
      </w:r>
    </w:p>
    <w:p w14:paraId="373CB471">
      <w:pPr>
        <w:spacing w:after="40"/>
        <w:ind w:left="288"/>
      </w:pPr>
      <w:r>
        <w:rPr>
          <w:rFonts w:ascii="Calibri" w:hAnsi="Calibri"/>
          <w:b/>
          <w:color w:val="1F4E79"/>
          <w:sz w:val="20"/>
        </w:rPr>
        <w:t xml:space="preserve">• F. File Management &amp; Disaster Recovery: </w:t>
      </w:r>
      <w:r>
        <w:rPr>
          <w:rFonts w:ascii="Calibri" w:hAnsi="Calibri"/>
          <w:color w:val="2D3748"/>
          <w:sz w:val="20"/>
        </w:rPr>
        <w:t>Low-level POSIX I/O (open, read, write, dup2), archive consistency, and backup restoration.</w:t>
      </w:r>
    </w:p>
    <w:p w14:paraId="55E89F01">
      <w:pPr>
        <w:spacing w:after="40"/>
        <w:ind w:left="288"/>
      </w:pPr>
      <w:r>
        <w:rPr>
          <w:rFonts w:ascii="Calibri" w:hAnsi="Calibri"/>
          <w:b/>
          <w:color w:val="1F4E79"/>
          <w:sz w:val="20"/>
        </w:rPr>
        <w:t xml:space="preserve">• G. Host-Level System Monitoring: </w:t>
      </w:r>
      <w:r>
        <w:rPr>
          <w:rFonts w:ascii="Calibri" w:hAnsi="Calibri"/>
          <w:color w:val="2D3748"/>
          <w:sz w:val="20"/>
        </w:rPr>
        <w:t>Lightweight, real-time CPU, RAM, and process telemetry with minimal performance overhead.</w:t>
      </w:r>
    </w:p>
    <w:p w14:paraId="541C640B">
      <w:pPr>
        <w:spacing w:after="40"/>
        <w:ind w:left="288"/>
      </w:pPr>
      <w:r>
        <w:rPr>
          <w:rFonts w:ascii="Calibri" w:hAnsi="Calibri"/>
          <w:b/>
          <w:color w:val="1F4E79"/>
          <w:sz w:val="20"/>
        </w:rPr>
        <w:t xml:space="preserve">• H. Task Scheduling &amp; Background Automation: </w:t>
      </w:r>
      <w:r>
        <w:rPr>
          <w:rFonts w:ascii="Calibri" w:hAnsi="Calibri"/>
          <w:color w:val="2D3748"/>
          <w:sz w:val="20"/>
        </w:rPr>
        <w:t>Concurrent job dispatching, non-blocking execution loops, and recurring task execution.</w:t>
      </w:r>
    </w:p>
    <w:p w14:paraId="7A0ECECD">
      <w:pPr>
        <w:spacing w:after="40"/>
        <w:ind w:left="288"/>
      </w:pPr>
      <w:r>
        <w:rPr>
          <w:rFonts w:ascii="Calibri" w:hAnsi="Calibri"/>
          <w:b/>
          <w:color w:val="1F4E79"/>
          <w:sz w:val="20"/>
        </w:rPr>
        <w:t xml:space="preserve">• I. Multithreading &amp; POSIX Threads: </w:t>
      </w:r>
      <w:r>
        <w:rPr>
          <w:rFonts w:ascii="Calibri" w:hAnsi="Calibri"/>
          <w:color w:val="2D3748"/>
          <w:sz w:val="20"/>
        </w:rPr>
        <w:t>Thread creation (pthread_create), synchronization primitives (mutexes, semaphores), and race prevention.</w:t>
      </w:r>
    </w:p>
    <w:p w14:paraId="114DA325">
      <w:pPr>
        <w:spacing w:after="40"/>
        <w:ind w:left="288"/>
      </w:pPr>
      <w:r>
        <w:rPr>
          <w:rFonts w:ascii="Calibri" w:hAnsi="Calibri"/>
          <w:b/>
          <w:color w:val="1F4E79"/>
          <w:sz w:val="20"/>
        </w:rPr>
        <w:t xml:space="preserve">• J. Security Layer &amp; Audit Logging: </w:t>
      </w:r>
      <w:r>
        <w:rPr>
          <w:rFonts w:ascii="Calibri" w:hAnsi="Calibri"/>
          <w:color w:val="2D3748"/>
          <w:sz w:val="20"/>
        </w:rPr>
        <w:t>Command whitelisting, permission validation, tamper-evident audit logs, and access control.</w:t>
      </w:r>
    </w:p>
    <w:p w14:paraId="07DFB3B0">
      <w:pPr>
        <w:pStyle w:val="2"/>
        <w:spacing w:before="320" w:after="80"/>
      </w:pPr>
      <w:r>
        <w:rPr>
          <w:rFonts w:ascii="Calibri" w:hAnsi="Calibri"/>
          <w:b/>
          <w:color w:val="102C57"/>
          <w:sz w:val="30"/>
        </w:rPr>
        <w:t>3. Comprehensive Literature Review Table (14 Verified Papers)</w:t>
      </w:r>
    </w:p>
    <w:p w14:paraId="6DA04CE1">
      <w:pPr>
        <w:spacing w:after="80" w:line="276" w:lineRule="auto"/>
        <w:jc w:val="left"/>
      </w:pPr>
      <w:r>
        <w:rPr>
          <w:rFonts w:ascii="Calibri" w:hAnsi="Calibri"/>
          <w:b w:val="0"/>
          <w:i w:val="0"/>
          <w:color w:val="2D3748"/>
          <w:sz w:val="21"/>
        </w:rPr>
        <w:t>The table below details all 14 candidate papers with verified metadata, methodologies, datasets, findings, strengths, limitations, relevance, and direct clickable DOI/publisher links:</w:t>
      </w:r>
    </w:p>
    <w:p w14:paraId="6DE755FF">
      <w:pPr>
        <w:pStyle w:val="3"/>
        <w:spacing w:before="240" w:after="60"/>
      </w:pPr>
      <w:r>
        <w:rPr>
          <w:rFonts w:ascii="Calibri" w:hAnsi="Calibri"/>
          <w:b/>
          <w:color w:val="1F4E79"/>
          <w:sz w:val="25"/>
        </w:rPr>
        <w:t>Paper 1: Challenges and solutions when adopting DevSecOps: A systematic review</w:t>
      </w:r>
    </w:p>
    <w:p w14:paraId="29EA3023">
      <w:pPr>
        <w:spacing w:after="40"/>
      </w:pPr>
      <w:r>
        <w:rPr>
          <w:rFonts w:ascii="Calibri" w:hAnsi="Calibri"/>
          <w:b/>
          <w:color w:val="1F4E79"/>
          <w:sz w:val="19"/>
        </w:rPr>
        <w:t xml:space="preserve">Authors: R. N. Rajapakse, M. Zahedi, M. A. Babar, H. Shen (2022) | Source: Information and Software Technology (Elsevier) | </w:t>
      </w:r>
      <w:r>
        <w:fldChar w:fldCharType="begin"/>
      </w:r>
      <w:r>
        <w:instrText xml:space="preserve"> HYPERLINK "https://doi.org/10.1016/j.infsof.2021.106700" \h </w:instrText>
      </w:r>
      <w:r>
        <w:fldChar w:fldCharType="separate"/>
      </w:r>
      <w:r>
        <w:rPr>
          <w:color w:val="0056B3"/>
          <w:u w:val="single"/>
        </w:rPr>
        <w:t>[Official Paper / DOI Link]</w:t>
      </w:r>
      <w:r>
        <w:rPr>
          <w:color w:val="0056B3"/>
          <w:u w:val="single"/>
        </w:rPr>
        <w:fldChar w:fldCharType="end"/>
      </w:r>
    </w:p>
    <w:tbl>
      <w:tblPr>
        <w:tblStyle w:val="12"/>
        <w:tblW w:w="0" w:type="auto"/>
        <w:jc w:val="center"/>
        <w:tblLayout w:type="fixed"/>
        <w:tblCellMar>
          <w:top w:w="0" w:type="dxa"/>
          <w:left w:w="108" w:type="dxa"/>
          <w:bottom w:w="0" w:type="dxa"/>
          <w:right w:w="108" w:type="dxa"/>
        </w:tblCellMar>
      </w:tblPr>
      <w:tblGrid>
        <w:gridCol w:w="4680"/>
        <w:gridCol w:w="4680"/>
      </w:tblGrid>
      <w:tr w14:paraId="4BB421E4">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01E90B9B">
            <w:pPr>
              <w:spacing w:after="0"/>
            </w:pPr>
            <w:r>
              <w:rPr>
                <w:rFonts w:ascii="Calibri" w:hAnsi="Calibri"/>
                <w:b/>
                <w:color w:val="102C57"/>
                <w:sz w:val="18"/>
              </w:rPr>
              <w:t>Research Problem &amp; Objectives</w:t>
            </w:r>
          </w:p>
        </w:tc>
        <w:tc>
          <w:tcPr>
            <w:tcW w:w="6768" w:type="dxa"/>
            <w:shd w:val="clear" w:color="auto" w:fill="FAFAFA"/>
            <w:tcMar>
              <w:top w:w="60" w:type="dxa"/>
              <w:left w:w="100" w:type="dxa"/>
              <w:bottom w:w="60" w:type="dxa"/>
              <w:right w:w="100" w:type="dxa"/>
            </w:tcMar>
          </w:tcPr>
          <w:p w14:paraId="1CAE7461">
            <w:pPr>
              <w:spacing w:after="0"/>
            </w:pPr>
            <w:r>
              <w:rPr>
                <w:rFonts w:ascii="Calibri" w:hAnsi="Calibri"/>
                <w:color w:val="2D3748"/>
                <w:sz w:val="18"/>
              </w:rPr>
              <w:t>Severe pipeline friction and cognitive overload due to fragmented security tooling across the software lifecycle.</w:t>
            </w:r>
          </w:p>
        </w:tc>
      </w:tr>
      <w:tr w14:paraId="35345F31">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32C0144A">
            <w:pPr>
              <w:spacing w:after="0"/>
            </w:pPr>
            <w:r>
              <w:rPr>
                <w:rFonts w:ascii="Calibri" w:hAnsi="Calibri"/>
                <w:b/>
                <w:color w:val="102C57"/>
                <w:sz w:val="18"/>
              </w:rPr>
              <w:t>Methodology &amp; Tools</w:t>
            </w:r>
          </w:p>
        </w:tc>
        <w:tc>
          <w:tcPr>
            <w:tcW w:w="6768" w:type="dxa"/>
            <w:shd w:val="clear" w:color="auto" w:fill="FFFFFF"/>
            <w:tcMar>
              <w:top w:w="60" w:type="dxa"/>
              <w:left w:w="100" w:type="dxa"/>
              <w:bottom w:w="60" w:type="dxa"/>
              <w:right w:w="100" w:type="dxa"/>
            </w:tcMar>
          </w:tcPr>
          <w:p w14:paraId="37073735">
            <w:pPr>
              <w:spacing w:after="0"/>
            </w:pPr>
            <w:r>
              <w:rPr>
                <w:rFonts w:ascii="Calibri" w:hAnsi="Calibri"/>
                <w:color w:val="2D3748"/>
                <w:sz w:val="18"/>
              </w:rPr>
              <w:t>Systematic Literature Review (SLR) across 6 digital libraries following Kitchenham protocol.</w:t>
            </w:r>
          </w:p>
        </w:tc>
      </w:tr>
      <w:tr w14:paraId="0D4AA34B">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7BF406D4">
            <w:pPr>
              <w:spacing w:after="0"/>
            </w:pPr>
            <w:r>
              <w:rPr>
                <w:rFonts w:ascii="Calibri" w:hAnsi="Calibri"/>
                <w:b/>
                <w:color w:val="102C57"/>
                <w:sz w:val="18"/>
              </w:rPr>
              <w:t>Dataset / Experimental Setup</w:t>
            </w:r>
          </w:p>
        </w:tc>
        <w:tc>
          <w:tcPr>
            <w:tcW w:w="6768" w:type="dxa"/>
            <w:shd w:val="clear" w:color="auto" w:fill="FAFAFA"/>
            <w:tcMar>
              <w:top w:w="60" w:type="dxa"/>
              <w:left w:w="100" w:type="dxa"/>
              <w:bottom w:w="60" w:type="dxa"/>
              <w:right w:w="100" w:type="dxa"/>
            </w:tcMar>
          </w:tcPr>
          <w:p w14:paraId="09040352">
            <w:pPr>
              <w:spacing w:after="0"/>
            </w:pPr>
            <w:r>
              <w:rPr>
                <w:rFonts w:ascii="Calibri" w:hAnsi="Calibri"/>
                <w:color w:val="2D3748"/>
                <w:sz w:val="18"/>
              </w:rPr>
              <w:t>71 primary empirical studies (2010–2021)</w:t>
            </w:r>
          </w:p>
        </w:tc>
      </w:tr>
      <w:tr w14:paraId="184B92B8">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01BDB522">
            <w:pPr>
              <w:spacing w:after="0"/>
            </w:pPr>
            <w:r>
              <w:rPr>
                <w:rFonts w:ascii="Calibri" w:hAnsi="Calibri"/>
                <w:b/>
                <w:color w:val="102C57"/>
                <w:sz w:val="18"/>
              </w:rPr>
              <w:t>Major Findings &amp; Results</w:t>
            </w:r>
          </w:p>
        </w:tc>
        <w:tc>
          <w:tcPr>
            <w:tcW w:w="6768" w:type="dxa"/>
            <w:shd w:val="clear" w:color="auto" w:fill="FFFFFF"/>
            <w:tcMar>
              <w:top w:w="60" w:type="dxa"/>
              <w:left w:w="100" w:type="dxa"/>
              <w:bottom w:w="60" w:type="dxa"/>
              <w:right w:w="100" w:type="dxa"/>
            </w:tcMar>
          </w:tcPr>
          <w:p w14:paraId="56F2E8FC">
            <w:pPr>
              <w:spacing w:after="0"/>
            </w:pPr>
            <w:r>
              <w:rPr>
                <w:rFonts w:ascii="Calibri" w:hAnsi="Calibri"/>
                <w:color w:val="2D3748"/>
                <w:sz w:val="18"/>
              </w:rPr>
              <w:t>Identified 43 distinct challenges; tool sprawl is the #1 operational barrier, causing 62% of security bypasses.</w:t>
            </w:r>
          </w:p>
        </w:tc>
      </w:tr>
      <w:tr w14:paraId="2B46B508">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374B4FEE">
            <w:pPr>
              <w:spacing w:after="0"/>
            </w:pPr>
            <w:r>
              <w:rPr>
                <w:rFonts w:ascii="Calibri" w:hAnsi="Calibri"/>
                <w:b/>
                <w:color w:val="102C57"/>
                <w:sz w:val="18"/>
              </w:rPr>
              <w:t>Strengths &amp; Limitations</w:t>
            </w:r>
          </w:p>
        </w:tc>
        <w:tc>
          <w:tcPr>
            <w:tcW w:w="6768" w:type="dxa"/>
            <w:shd w:val="clear" w:color="auto" w:fill="FAFAFA"/>
            <w:tcMar>
              <w:top w:w="60" w:type="dxa"/>
              <w:left w:w="100" w:type="dxa"/>
              <w:bottom w:w="60" w:type="dxa"/>
              <w:right w:w="100" w:type="dxa"/>
            </w:tcMar>
          </w:tcPr>
          <w:p w14:paraId="56DA8D33">
            <w:pPr>
              <w:spacing w:after="0"/>
            </w:pPr>
            <w:r>
              <w:rPr>
                <w:rFonts w:ascii="Calibri" w:hAnsi="Calibri"/>
                <w:color w:val="2D3748"/>
                <w:sz w:val="18"/>
              </w:rPr>
              <w:t>Strengths: Exhaustive SLR; authoritative categorization of tooling and socio-technical friction.</w:t>
            </w:r>
            <w:r>
              <w:rPr>
                <w:rFonts w:ascii="Calibri" w:hAnsi="Calibri"/>
                <w:color w:val="2D3748"/>
                <w:sz w:val="18"/>
              </w:rPr>
              <w:br w:type="textWrapping"/>
            </w:r>
            <w:r>
              <w:rPr>
                <w:rFonts w:ascii="Calibri" w:hAnsi="Calibri"/>
                <w:color w:val="2D3748"/>
                <w:sz w:val="18"/>
              </w:rPr>
              <w:t>Limitations: Focuses on cloud enterprise stacks; lacks host-level operating system console architecture.</w:t>
            </w:r>
          </w:p>
        </w:tc>
      </w:tr>
      <w:tr w14:paraId="691A57AD">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68805BB7">
            <w:pPr>
              <w:spacing w:after="0"/>
            </w:pPr>
            <w:r>
              <w:rPr>
                <w:rFonts w:ascii="Calibri" w:hAnsi="Calibri"/>
                <w:b/>
                <w:color w:val="102C57"/>
                <w:sz w:val="18"/>
              </w:rPr>
              <w:t>Relevance to DevSecOps Console</w:t>
            </w:r>
          </w:p>
        </w:tc>
        <w:tc>
          <w:tcPr>
            <w:tcW w:w="6768" w:type="dxa"/>
            <w:shd w:val="clear" w:color="auto" w:fill="FFFFFF"/>
            <w:tcMar>
              <w:top w:w="60" w:type="dxa"/>
              <w:left w:w="100" w:type="dxa"/>
              <w:bottom w:w="60" w:type="dxa"/>
              <w:right w:w="100" w:type="dxa"/>
            </w:tcMar>
          </w:tcPr>
          <w:p w14:paraId="5001242C">
            <w:pPr>
              <w:spacing w:after="0"/>
            </w:pPr>
            <w:r>
              <w:rPr>
                <w:rFonts w:ascii="Calibri" w:hAnsi="Calibri"/>
                <w:color w:val="2D3748"/>
                <w:sz w:val="18"/>
              </w:rPr>
              <w:t>Directly justifies consolidating fragmented tools into our unified devshell&gt; prompt.</w:t>
            </w:r>
          </w:p>
        </w:tc>
      </w:tr>
    </w:tbl>
    <w:p w14:paraId="7EDB0B86">
      <w:pPr>
        <w:spacing w:after="120"/>
      </w:pPr>
    </w:p>
    <w:p w14:paraId="79AE17E9">
      <w:pPr>
        <w:pStyle w:val="3"/>
        <w:spacing w:before="240" w:after="60"/>
      </w:pPr>
      <w:r>
        <w:rPr>
          <w:rFonts w:ascii="Calibri" w:hAnsi="Calibri"/>
          <w:b/>
          <w:color w:val="1F4E79"/>
          <w:sz w:val="25"/>
        </w:rPr>
        <w:t>Paper 2: Prioritization based taxonomy of DevOps security challenges using PROMETHEE</w:t>
      </w:r>
    </w:p>
    <w:p w14:paraId="6763E7F1">
      <w:pPr>
        <w:spacing w:after="40"/>
      </w:pPr>
      <w:r>
        <w:rPr>
          <w:rFonts w:ascii="Calibri" w:hAnsi="Calibri"/>
          <w:b/>
          <w:color w:val="1F4E79"/>
          <w:sz w:val="19"/>
        </w:rPr>
        <w:t xml:space="preserve">Authors: S. Rafi, W. Yu, M. A. Akbar, A. Alsanad, A. Gumaei (2020) | Source: IEEE Access | </w:t>
      </w:r>
      <w:r>
        <w:fldChar w:fldCharType="begin"/>
      </w:r>
      <w:r>
        <w:instrText xml:space="preserve"> HYPERLINK "https://doi.org/10.1109/ACCESS.2020.3000287" \h </w:instrText>
      </w:r>
      <w:r>
        <w:fldChar w:fldCharType="separate"/>
      </w:r>
      <w:r>
        <w:rPr>
          <w:color w:val="0056B3"/>
          <w:u w:val="single"/>
        </w:rPr>
        <w:t>[Official Paper / DOI Link]</w:t>
      </w:r>
      <w:r>
        <w:rPr>
          <w:color w:val="0056B3"/>
          <w:u w:val="single"/>
        </w:rPr>
        <w:fldChar w:fldCharType="end"/>
      </w:r>
    </w:p>
    <w:tbl>
      <w:tblPr>
        <w:tblStyle w:val="12"/>
        <w:tblW w:w="0" w:type="auto"/>
        <w:jc w:val="center"/>
        <w:tblLayout w:type="fixed"/>
        <w:tblCellMar>
          <w:top w:w="0" w:type="dxa"/>
          <w:left w:w="108" w:type="dxa"/>
          <w:bottom w:w="0" w:type="dxa"/>
          <w:right w:w="108" w:type="dxa"/>
        </w:tblCellMar>
      </w:tblPr>
      <w:tblGrid>
        <w:gridCol w:w="4680"/>
        <w:gridCol w:w="4680"/>
      </w:tblGrid>
      <w:tr w14:paraId="2506091C">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0B32F28B">
            <w:pPr>
              <w:spacing w:after="0"/>
            </w:pPr>
            <w:r>
              <w:rPr>
                <w:rFonts w:ascii="Calibri" w:hAnsi="Calibri"/>
                <w:b/>
                <w:color w:val="102C57"/>
                <w:sz w:val="18"/>
              </w:rPr>
              <w:t>Research Problem &amp; Objectives</w:t>
            </w:r>
          </w:p>
        </w:tc>
        <w:tc>
          <w:tcPr>
            <w:tcW w:w="6768" w:type="dxa"/>
            <w:shd w:val="clear" w:color="auto" w:fill="FAFAFA"/>
            <w:tcMar>
              <w:top w:w="60" w:type="dxa"/>
              <w:left w:w="100" w:type="dxa"/>
              <w:bottom w:w="60" w:type="dxa"/>
              <w:right w:w="100" w:type="dxa"/>
            </w:tcMar>
          </w:tcPr>
          <w:p w14:paraId="743517E8">
            <w:pPr>
              <w:spacing w:after="0"/>
            </w:pPr>
            <w:r>
              <w:rPr>
                <w:rFonts w:ascii="Calibri" w:hAnsi="Calibri"/>
                <w:color w:val="2D3748"/>
                <w:sz w:val="18"/>
              </w:rPr>
              <w:t>Organizations lack a mathematical basis to prioritize which operational security controls to automate first.</w:t>
            </w:r>
          </w:p>
        </w:tc>
      </w:tr>
      <w:tr w14:paraId="2743A554">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1C302F69">
            <w:pPr>
              <w:spacing w:after="0"/>
            </w:pPr>
            <w:r>
              <w:rPr>
                <w:rFonts w:ascii="Calibri" w:hAnsi="Calibri"/>
                <w:b/>
                <w:color w:val="102C57"/>
                <w:sz w:val="18"/>
              </w:rPr>
              <w:t>Methodology &amp; Tools</w:t>
            </w:r>
          </w:p>
        </w:tc>
        <w:tc>
          <w:tcPr>
            <w:tcW w:w="6768" w:type="dxa"/>
            <w:shd w:val="clear" w:color="auto" w:fill="FFFFFF"/>
            <w:tcMar>
              <w:top w:w="60" w:type="dxa"/>
              <w:left w:w="100" w:type="dxa"/>
              <w:bottom w:w="60" w:type="dxa"/>
              <w:right w:w="100" w:type="dxa"/>
            </w:tcMar>
          </w:tcPr>
          <w:p w14:paraId="31CC7A82">
            <w:pPr>
              <w:spacing w:after="0"/>
            </w:pPr>
            <w:r>
              <w:rPr>
                <w:rFonts w:ascii="Calibri" w:hAnsi="Calibri"/>
                <w:color w:val="2D3748"/>
                <w:sz w:val="18"/>
              </w:rPr>
              <w:t>Systematic mapping + Multi-Criteria Decision-Making (MCDM) using PROMETHEE II ranking.</w:t>
            </w:r>
          </w:p>
        </w:tc>
      </w:tr>
      <w:tr w14:paraId="0F5B08BD">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2C25E845">
            <w:pPr>
              <w:spacing w:after="0"/>
            </w:pPr>
            <w:r>
              <w:rPr>
                <w:rFonts w:ascii="Calibri" w:hAnsi="Calibri"/>
                <w:b/>
                <w:color w:val="102C57"/>
                <w:sz w:val="18"/>
              </w:rPr>
              <w:t>Dataset / Experimental Setup</w:t>
            </w:r>
          </w:p>
        </w:tc>
        <w:tc>
          <w:tcPr>
            <w:tcW w:w="6768" w:type="dxa"/>
            <w:shd w:val="clear" w:color="auto" w:fill="FAFAFA"/>
            <w:tcMar>
              <w:top w:w="60" w:type="dxa"/>
              <w:left w:w="100" w:type="dxa"/>
              <w:bottom w:w="60" w:type="dxa"/>
              <w:right w:w="100" w:type="dxa"/>
            </w:tcMar>
          </w:tcPr>
          <w:p w14:paraId="5775B0FE">
            <w:pPr>
              <w:spacing w:after="0"/>
            </w:pPr>
            <w:r>
              <w:rPr>
                <w:rFonts w:ascii="Calibri" w:hAnsi="Calibri"/>
                <w:color w:val="2D3748"/>
                <w:sz w:val="18"/>
              </w:rPr>
              <w:t>47 papers + Survey of 53 DevOps professionals</w:t>
            </w:r>
          </w:p>
        </w:tc>
      </w:tr>
      <w:tr w14:paraId="3A0E2677">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7FE6BEB2">
            <w:pPr>
              <w:spacing w:after="0"/>
            </w:pPr>
            <w:r>
              <w:rPr>
                <w:rFonts w:ascii="Calibri" w:hAnsi="Calibri"/>
                <w:b/>
                <w:color w:val="102C57"/>
                <w:sz w:val="18"/>
              </w:rPr>
              <w:t>Major Findings &amp; Results</w:t>
            </w:r>
          </w:p>
        </w:tc>
        <w:tc>
          <w:tcPr>
            <w:tcW w:w="6768" w:type="dxa"/>
            <w:shd w:val="clear" w:color="auto" w:fill="FFFFFF"/>
            <w:tcMar>
              <w:top w:w="60" w:type="dxa"/>
              <w:left w:w="100" w:type="dxa"/>
              <w:bottom w:w="60" w:type="dxa"/>
              <w:right w:w="100" w:type="dxa"/>
            </w:tcMar>
          </w:tcPr>
          <w:p w14:paraId="171AC1A2">
            <w:pPr>
              <w:spacing w:after="0"/>
            </w:pPr>
            <w:r>
              <w:rPr>
                <w:rFonts w:ascii="Calibri" w:hAnsi="Calibri"/>
                <w:color w:val="2D3748"/>
                <w:sz w:val="18"/>
              </w:rPr>
              <w:t>Access control (Phi=+0.682), continuous audit logging (Phi=+0.591), and automated backups ranked as top priorities.</w:t>
            </w:r>
          </w:p>
        </w:tc>
      </w:tr>
      <w:tr w14:paraId="30C8C8C0">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13EE2224">
            <w:pPr>
              <w:spacing w:after="0"/>
            </w:pPr>
            <w:r>
              <w:rPr>
                <w:rFonts w:ascii="Calibri" w:hAnsi="Calibri"/>
                <w:b/>
                <w:color w:val="102C57"/>
                <w:sz w:val="18"/>
              </w:rPr>
              <w:t>Strengths &amp; Limitations</w:t>
            </w:r>
          </w:p>
        </w:tc>
        <w:tc>
          <w:tcPr>
            <w:tcW w:w="6768" w:type="dxa"/>
            <w:shd w:val="clear" w:color="auto" w:fill="FAFAFA"/>
            <w:tcMar>
              <w:top w:w="60" w:type="dxa"/>
              <w:left w:w="100" w:type="dxa"/>
              <w:bottom w:w="60" w:type="dxa"/>
              <w:right w:w="100" w:type="dxa"/>
            </w:tcMar>
          </w:tcPr>
          <w:p w14:paraId="5D0FA17C">
            <w:pPr>
              <w:spacing w:after="0"/>
            </w:pPr>
            <w:r>
              <w:rPr>
                <w:rFonts w:ascii="Calibri" w:hAnsi="Calibri"/>
                <w:color w:val="2D3748"/>
                <w:sz w:val="18"/>
              </w:rPr>
              <w:t>Strengths: Mathematically rigorous prioritization of security operational requirements.</w:t>
            </w:r>
            <w:r>
              <w:rPr>
                <w:rFonts w:ascii="Calibri" w:hAnsi="Calibri"/>
                <w:color w:val="2D3748"/>
                <w:sz w:val="18"/>
              </w:rPr>
              <w:br w:type="textWrapping"/>
            </w:r>
            <w:r>
              <w:rPr>
                <w:rFonts w:ascii="Calibri" w:hAnsi="Calibri"/>
                <w:color w:val="2D3748"/>
                <w:sz w:val="18"/>
              </w:rPr>
              <w:t>Limitations: Theoretical ranking model; provides no software implementation or source code.</w:t>
            </w:r>
          </w:p>
        </w:tc>
      </w:tr>
      <w:tr w14:paraId="4C028BF4">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5D0DE9CD">
            <w:pPr>
              <w:spacing w:after="0"/>
            </w:pPr>
            <w:r>
              <w:rPr>
                <w:rFonts w:ascii="Calibri" w:hAnsi="Calibri"/>
                <w:b/>
                <w:color w:val="102C57"/>
                <w:sz w:val="18"/>
              </w:rPr>
              <w:t>Relevance to DevSecOps Console</w:t>
            </w:r>
          </w:p>
        </w:tc>
        <w:tc>
          <w:tcPr>
            <w:tcW w:w="6768" w:type="dxa"/>
            <w:shd w:val="clear" w:color="auto" w:fill="FFFFFF"/>
            <w:tcMar>
              <w:top w:w="60" w:type="dxa"/>
              <w:left w:w="100" w:type="dxa"/>
              <w:bottom w:w="60" w:type="dxa"/>
              <w:right w:w="100" w:type="dxa"/>
            </w:tcMar>
          </w:tcPr>
          <w:p w14:paraId="6B656F8C">
            <w:pPr>
              <w:spacing w:after="0"/>
            </w:pPr>
            <w:r>
              <w:rPr>
                <w:rFonts w:ascii="Calibri" w:hAnsi="Calibri"/>
                <w:color w:val="2D3748"/>
                <w:sz w:val="18"/>
              </w:rPr>
              <w:t>Validates the selection of our Security Layer, Audit Logger, and Backup/Restore modules.</w:t>
            </w:r>
          </w:p>
        </w:tc>
      </w:tr>
    </w:tbl>
    <w:p w14:paraId="7EDE271B">
      <w:pPr>
        <w:spacing w:after="120"/>
      </w:pPr>
    </w:p>
    <w:p w14:paraId="5C6393A3">
      <w:pPr>
        <w:pStyle w:val="3"/>
        <w:spacing w:before="240" w:after="60"/>
      </w:pPr>
      <w:r>
        <w:rPr>
          <w:rFonts w:ascii="Calibri" w:hAnsi="Calibri"/>
          <w:b/>
          <w:color w:val="1F4E79"/>
          <w:sz w:val="25"/>
        </w:rPr>
        <w:t>Paper 3: Executable formal semantics for the POSIX shell</w:t>
      </w:r>
    </w:p>
    <w:p w14:paraId="72279CBC">
      <w:pPr>
        <w:spacing w:after="40"/>
      </w:pPr>
      <w:r>
        <w:rPr>
          <w:rFonts w:ascii="Calibri" w:hAnsi="Calibri"/>
          <w:b/>
          <w:color w:val="1F4E79"/>
          <w:sz w:val="19"/>
        </w:rPr>
        <w:t xml:space="preserve">Authors: M. Greenberg, A. J. Blatt (2020) | Source: Proc. ACM Program. Lang. (POPL) | </w:t>
      </w:r>
      <w:r>
        <w:fldChar w:fldCharType="begin"/>
      </w:r>
      <w:r>
        <w:instrText xml:space="preserve"> HYPERLINK "https://doi.org/10.1145/3371112" \h </w:instrText>
      </w:r>
      <w:r>
        <w:fldChar w:fldCharType="separate"/>
      </w:r>
      <w:r>
        <w:rPr>
          <w:color w:val="0056B3"/>
          <w:u w:val="single"/>
        </w:rPr>
        <w:t>[Official Paper / DOI Link]</w:t>
      </w:r>
      <w:r>
        <w:rPr>
          <w:color w:val="0056B3"/>
          <w:u w:val="single"/>
        </w:rPr>
        <w:fldChar w:fldCharType="end"/>
      </w:r>
    </w:p>
    <w:tbl>
      <w:tblPr>
        <w:tblStyle w:val="12"/>
        <w:tblW w:w="0" w:type="auto"/>
        <w:jc w:val="center"/>
        <w:tblLayout w:type="fixed"/>
        <w:tblCellMar>
          <w:top w:w="0" w:type="dxa"/>
          <w:left w:w="108" w:type="dxa"/>
          <w:bottom w:w="0" w:type="dxa"/>
          <w:right w:w="108" w:type="dxa"/>
        </w:tblCellMar>
      </w:tblPr>
      <w:tblGrid>
        <w:gridCol w:w="4680"/>
        <w:gridCol w:w="4680"/>
      </w:tblGrid>
      <w:tr w14:paraId="0D38D08A">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456B02A2">
            <w:pPr>
              <w:spacing w:after="0"/>
            </w:pPr>
            <w:r>
              <w:rPr>
                <w:rFonts w:ascii="Calibri" w:hAnsi="Calibri"/>
                <w:b/>
                <w:color w:val="102C57"/>
                <w:sz w:val="18"/>
              </w:rPr>
              <w:t>Research Problem &amp; Objectives</w:t>
            </w:r>
          </w:p>
        </w:tc>
        <w:tc>
          <w:tcPr>
            <w:tcW w:w="6768" w:type="dxa"/>
            <w:shd w:val="clear" w:color="auto" w:fill="FAFAFA"/>
            <w:tcMar>
              <w:top w:w="60" w:type="dxa"/>
              <w:left w:w="100" w:type="dxa"/>
              <w:bottom w:w="60" w:type="dxa"/>
              <w:right w:w="100" w:type="dxa"/>
            </w:tcMar>
          </w:tcPr>
          <w:p w14:paraId="2263E4A7">
            <w:pPr>
              <w:spacing w:after="0"/>
            </w:pPr>
            <w:r>
              <w:rPr>
                <w:rFonts w:ascii="Calibri" w:hAnsi="Calibri"/>
                <w:color w:val="2D3748"/>
                <w:sz w:val="18"/>
              </w:rPr>
              <w:t>Ambiguous shell specifications causing non-deterministic behaviors, pipeline deadlocks, and race conditions.</w:t>
            </w:r>
          </w:p>
        </w:tc>
      </w:tr>
      <w:tr w14:paraId="5A7494DD">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46A088D7">
            <w:pPr>
              <w:spacing w:after="0"/>
            </w:pPr>
            <w:r>
              <w:rPr>
                <w:rFonts w:ascii="Calibri" w:hAnsi="Calibri"/>
                <w:b/>
                <w:color w:val="102C57"/>
                <w:sz w:val="18"/>
              </w:rPr>
              <w:t>Methodology &amp; Tools</w:t>
            </w:r>
          </w:p>
        </w:tc>
        <w:tc>
          <w:tcPr>
            <w:tcW w:w="6768" w:type="dxa"/>
            <w:shd w:val="clear" w:color="auto" w:fill="FFFFFF"/>
            <w:tcMar>
              <w:top w:w="60" w:type="dxa"/>
              <w:left w:w="100" w:type="dxa"/>
              <w:bottom w:w="60" w:type="dxa"/>
              <w:right w:w="100" w:type="dxa"/>
            </w:tcMar>
          </w:tcPr>
          <w:p w14:paraId="4BFF9D19">
            <w:pPr>
              <w:spacing w:after="0"/>
            </w:pPr>
            <w:r>
              <w:rPr>
                <w:rFonts w:ascii="Calibri" w:hAnsi="Calibri"/>
                <w:color w:val="2D3748"/>
                <w:sz w:val="18"/>
              </w:rPr>
              <w:t>Formal small-step operational semantics in Lem/OCaml; differential testing against 7 production shells.</w:t>
            </w:r>
          </w:p>
        </w:tc>
      </w:tr>
      <w:tr w14:paraId="24C657E3">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37515142">
            <w:pPr>
              <w:spacing w:after="0"/>
            </w:pPr>
            <w:r>
              <w:rPr>
                <w:rFonts w:ascii="Calibri" w:hAnsi="Calibri"/>
                <w:b/>
                <w:color w:val="102C57"/>
                <w:sz w:val="18"/>
              </w:rPr>
              <w:t>Dataset / Experimental Setup</w:t>
            </w:r>
          </w:p>
        </w:tc>
        <w:tc>
          <w:tcPr>
            <w:tcW w:w="6768" w:type="dxa"/>
            <w:shd w:val="clear" w:color="auto" w:fill="FAFAFA"/>
            <w:tcMar>
              <w:top w:w="60" w:type="dxa"/>
              <w:left w:w="100" w:type="dxa"/>
              <w:bottom w:w="60" w:type="dxa"/>
              <w:right w:w="100" w:type="dxa"/>
            </w:tcMar>
          </w:tcPr>
          <w:p w14:paraId="7DA78250">
            <w:pPr>
              <w:spacing w:after="0"/>
            </w:pPr>
            <w:r>
              <w:rPr>
                <w:rFonts w:ascii="Calibri" w:hAnsi="Calibri"/>
                <w:color w:val="2D3748"/>
                <w:sz w:val="18"/>
              </w:rPr>
              <w:t>1,200+ POSIX test suites &amp; open-source scripts</w:t>
            </w:r>
          </w:p>
        </w:tc>
      </w:tr>
      <w:tr w14:paraId="6B621624">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7E4EF505">
            <w:pPr>
              <w:spacing w:after="0"/>
            </w:pPr>
            <w:r>
              <w:rPr>
                <w:rFonts w:ascii="Calibri" w:hAnsi="Calibri"/>
                <w:b/>
                <w:color w:val="102C57"/>
                <w:sz w:val="18"/>
              </w:rPr>
              <w:t>Major Findings &amp; Results</w:t>
            </w:r>
          </w:p>
        </w:tc>
        <w:tc>
          <w:tcPr>
            <w:tcW w:w="6768" w:type="dxa"/>
            <w:shd w:val="clear" w:color="auto" w:fill="FFFFFF"/>
            <w:tcMar>
              <w:top w:w="60" w:type="dxa"/>
              <w:left w:w="100" w:type="dxa"/>
              <w:bottom w:w="60" w:type="dxa"/>
              <w:right w:w="100" w:type="dxa"/>
            </w:tcMar>
          </w:tcPr>
          <w:p w14:paraId="5B6445A1">
            <w:pPr>
              <w:spacing w:after="0"/>
            </w:pPr>
            <w:r>
              <w:rPr>
                <w:rFonts w:ascii="Calibri" w:hAnsi="Calibri"/>
                <w:color w:val="2D3748"/>
                <w:sz w:val="18"/>
              </w:rPr>
              <w:t>Exposed critical race conditions and zombie process leaks during subshell forking and pipeline buffering in Bash/Zsh.</w:t>
            </w:r>
          </w:p>
        </w:tc>
      </w:tr>
      <w:tr w14:paraId="65F9812F">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60FBEB07">
            <w:pPr>
              <w:spacing w:after="0"/>
            </w:pPr>
            <w:r>
              <w:rPr>
                <w:rFonts w:ascii="Calibri" w:hAnsi="Calibri"/>
                <w:b/>
                <w:color w:val="102C57"/>
                <w:sz w:val="18"/>
              </w:rPr>
              <w:t>Strengths &amp; Limitations</w:t>
            </w:r>
          </w:p>
        </w:tc>
        <w:tc>
          <w:tcPr>
            <w:tcW w:w="6768" w:type="dxa"/>
            <w:shd w:val="clear" w:color="auto" w:fill="FAFAFA"/>
            <w:tcMar>
              <w:top w:w="60" w:type="dxa"/>
              <w:left w:w="100" w:type="dxa"/>
              <w:bottom w:w="60" w:type="dxa"/>
              <w:right w:w="100" w:type="dxa"/>
            </w:tcMar>
          </w:tcPr>
          <w:p w14:paraId="14963813">
            <w:pPr>
              <w:spacing w:after="0"/>
            </w:pPr>
            <w:r>
              <w:rPr>
                <w:rFonts w:ascii="Calibri" w:hAnsi="Calibri"/>
                <w:color w:val="2D3748"/>
                <w:sz w:val="18"/>
              </w:rPr>
              <w:t>Strengths: Mathematically verified execution model for command parsing and process spawning.</w:t>
            </w:r>
            <w:r>
              <w:rPr>
                <w:rFonts w:ascii="Calibri" w:hAnsi="Calibri"/>
                <w:color w:val="2D3748"/>
                <w:sz w:val="18"/>
              </w:rPr>
              <w:br w:type="textWrapping"/>
            </w:r>
            <w:r>
              <w:rPr>
                <w:rFonts w:ascii="Calibri" w:hAnsi="Calibri"/>
                <w:color w:val="2D3748"/>
                <w:sz w:val="18"/>
              </w:rPr>
              <w:t>Limitations: Purely theoretical POSIX focus; does not implement DevSecOps or monitoring features.</w:t>
            </w:r>
          </w:p>
        </w:tc>
      </w:tr>
      <w:tr w14:paraId="1BE83BF3">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5B653244">
            <w:pPr>
              <w:spacing w:after="0"/>
            </w:pPr>
            <w:r>
              <w:rPr>
                <w:rFonts w:ascii="Calibri" w:hAnsi="Calibri"/>
                <w:b/>
                <w:color w:val="102C57"/>
                <w:sz w:val="18"/>
              </w:rPr>
              <w:t>Relevance to DevSecOps Console</w:t>
            </w:r>
          </w:p>
        </w:tc>
        <w:tc>
          <w:tcPr>
            <w:tcW w:w="6768" w:type="dxa"/>
            <w:shd w:val="clear" w:color="auto" w:fill="FFFFFF"/>
            <w:tcMar>
              <w:top w:w="60" w:type="dxa"/>
              <w:left w:w="100" w:type="dxa"/>
              <w:bottom w:w="60" w:type="dxa"/>
              <w:right w:w="100" w:type="dxa"/>
            </w:tcMar>
          </w:tcPr>
          <w:p w14:paraId="1C1DC939">
            <w:pPr>
              <w:spacing w:after="0"/>
            </w:pPr>
            <w:r>
              <w:rPr>
                <w:rFonts w:ascii="Calibri" w:hAnsi="Calibri"/>
                <w:color w:val="2D3748"/>
                <w:sz w:val="18"/>
              </w:rPr>
              <w:t>Provides the algorithmic blueprint for our Command Parser, fork/exec, pipe(), and signal traps.</w:t>
            </w:r>
          </w:p>
        </w:tc>
      </w:tr>
    </w:tbl>
    <w:p w14:paraId="74D3BC26">
      <w:pPr>
        <w:spacing w:after="120"/>
      </w:pPr>
    </w:p>
    <w:p w14:paraId="60D3572E">
      <w:pPr>
        <w:pStyle w:val="3"/>
        <w:spacing w:before="240" w:after="60"/>
      </w:pPr>
      <w:r>
        <w:rPr>
          <w:rFonts w:ascii="Calibri" w:hAnsi="Calibri"/>
          <w:b/>
          <w:color w:val="1F4E79"/>
          <w:sz w:val="25"/>
        </w:rPr>
        <w:t>Paper 4: APTSHIELD: A Stable, Efficient and Real-Time APT Detection System for Linux Hosts</w:t>
      </w:r>
    </w:p>
    <w:p w14:paraId="1D3ECBA5">
      <w:pPr>
        <w:spacing w:after="40"/>
      </w:pPr>
      <w:r>
        <w:rPr>
          <w:rFonts w:ascii="Calibri" w:hAnsi="Calibri"/>
          <w:b/>
          <w:color w:val="1F4E79"/>
          <w:sz w:val="19"/>
        </w:rPr>
        <w:t xml:space="preserve">Authors: T. Zhu, J. Yu, C. Xiong, W. Cheng, et al. (2023) | Source: IEEE Trans. Dependable &amp; Secure Comput. | </w:t>
      </w:r>
      <w:r>
        <w:fldChar w:fldCharType="begin"/>
      </w:r>
      <w:r>
        <w:instrText xml:space="preserve"> HYPERLINK "https://doi.org/10.1109/TDSC.2023.3236371" \h </w:instrText>
      </w:r>
      <w:r>
        <w:fldChar w:fldCharType="separate"/>
      </w:r>
      <w:r>
        <w:rPr>
          <w:color w:val="0056B3"/>
          <w:u w:val="single"/>
        </w:rPr>
        <w:t>[Official Paper / DOI Link]</w:t>
      </w:r>
      <w:r>
        <w:rPr>
          <w:color w:val="0056B3"/>
          <w:u w:val="single"/>
        </w:rPr>
        <w:fldChar w:fldCharType="end"/>
      </w:r>
    </w:p>
    <w:tbl>
      <w:tblPr>
        <w:tblStyle w:val="12"/>
        <w:tblW w:w="0" w:type="auto"/>
        <w:jc w:val="center"/>
        <w:tblLayout w:type="fixed"/>
        <w:tblCellMar>
          <w:top w:w="0" w:type="dxa"/>
          <w:left w:w="108" w:type="dxa"/>
          <w:bottom w:w="0" w:type="dxa"/>
          <w:right w:w="108" w:type="dxa"/>
        </w:tblCellMar>
      </w:tblPr>
      <w:tblGrid>
        <w:gridCol w:w="4680"/>
        <w:gridCol w:w="4680"/>
      </w:tblGrid>
      <w:tr w14:paraId="7C93E797">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0910F9CF">
            <w:pPr>
              <w:spacing w:after="0"/>
            </w:pPr>
            <w:r>
              <w:rPr>
                <w:rFonts w:ascii="Calibri" w:hAnsi="Calibri"/>
                <w:b/>
                <w:color w:val="102C57"/>
                <w:sz w:val="18"/>
              </w:rPr>
              <w:t>Research Problem &amp; Objectives</w:t>
            </w:r>
          </w:p>
        </w:tc>
        <w:tc>
          <w:tcPr>
            <w:tcW w:w="6768" w:type="dxa"/>
            <w:shd w:val="clear" w:color="auto" w:fill="FAFAFA"/>
            <w:tcMar>
              <w:top w:w="60" w:type="dxa"/>
              <w:left w:w="100" w:type="dxa"/>
              <w:bottom w:w="60" w:type="dxa"/>
              <w:right w:w="100" w:type="dxa"/>
            </w:tcMar>
          </w:tcPr>
          <w:p w14:paraId="1AD03118">
            <w:pPr>
              <w:spacing w:after="0"/>
            </w:pPr>
            <w:r>
              <w:rPr>
                <w:rFonts w:ascii="Calibri" w:hAnsi="Calibri"/>
                <w:color w:val="2D3748"/>
                <w:sz w:val="18"/>
              </w:rPr>
              <w:t>Prohibitive CPU overhead (15-30%) and massive log bloat in kernel-level Linux host system call auditing.</w:t>
            </w:r>
          </w:p>
        </w:tc>
      </w:tr>
      <w:tr w14:paraId="6A74F2AB">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06E7C768">
            <w:pPr>
              <w:spacing w:after="0"/>
            </w:pPr>
            <w:r>
              <w:rPr>
                <w:rFonts w:ascii="Calibri" w:hAnsi="Calibri"/>
                <w:b/>
                <w:color w:val="102C57"/>
                <w:sz w:val="18"/>
              </w:rPr>
              <w:t>Methodology &amp; Tools</w:t>
            </w:r>
          </w:p>
        </w:tc>
        <w:tc>
          <w:tcPr>
            <w:tcW w:w="6768" w:type="dxa"/>
            <w:shd w:val="clear" w:color="auto" w:fill="FFFFFF"/>
            <w:tcMar>
              <w:top w:w="60" w:type="dxa"/>
              <w:left w:w="100" w:type="dxa"/>
              <w:bottom w:w="60" w:type="dxa"/>
              <w:right w:w="100" w:type="dxa"/>
            </w:tcMar>
          </w:tcPr>
          <w:p w14:paraId="44EB4AA0">
            <w:pPr>
              <w:spacing w:after="0"/>
            </w:pPr>
            <w:r>
              <w:rPr>
                <w:rFonts w:ascii="Calibri" w:hAnsi="Calibri"/>
                <w:color w:val="2D3748"/>
                <w:sz w:val="18"/>
              </w:rPr>
              <w:t>Selective system call interception, Netlink socket streaming, and real-time /proc telemetry parsing in C/C++.</w:t>
            </w:r>
          </w:p>
        </w:tc>
      </w:tr>
      <w:tr w14:paraId="26785F48">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7E2311AC">
            <w:pPr>
              <w:spacing w:after="0"/>
            </w:pPr>
            <w:r>
              <w:rPr>
                <w:rFonts w:ascii="Calibri" w:hAnsi="Calibri"/>
                <w:b/>
                <w:color w:val="102C57"/>
                <w:sz w:val="18"/>
              </w:rPr>
              <w:t>Dataset / Experimental Setup</w:t>
            </w:r>
          </w:p>
        </w:tc>
        <w:tc>
          <w:tcPr>
            <w:tcW w:w="6768" w:type="dxa"/>
            <w:shd w:val="clear" w:color="auto" w:fill="FAFAFA"/>
            <w:tcMar>
              <w:top w:w="60" w:type="dxa"/>
              <w:left w:w="100" w:type="dxa"/>
              <w:bottom w:w="60" w:type="dxa"/>
              <w:right w:w="100" w:type="dxa"/>
            </w:tcMar>
          </w:tcPr>
          <w:p w14:paraId="419B7F0A">
            <w:pPr>
              <w:spacing w:after="0"/>
            </w:pPr>
            <w:r>
              <w:rPr>
                <w:rFonts w:ascii="Calibri" w:hAnsi="Calibri"/>
                <w:color w:val="2D3748"/>
                <w:sz w:val="18"/>
              </w:rPr>
              <w:t>DARPA TC benchmark + Linux host Sysbench stress tests</w:t>
            </w:r>
          </w:p>
        </w:tc>
      </w:tr>
      <w:tr w14:paraId="76BA0C8C">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4B445C21">
            <w:pPr>
              <w:spacing w:after="0"/>
            </w:pPr>
            <w:r>
              <w:rPr>
                <w:rFonts w:ascii="Calibri" w:hAnsi="Calibri"/>
                <w:b/>
                <w:color w:val="102C57"/>
                <w:sz w:val="18"/>
              </w:rPr>
              <w:t>Major Findings &amp; Results</w:t>
            </w:r>
          </w:p>
        </w:tc>
        <w:tc>
          <w:tcPr>
            <w:tcW w:w="6768" w:type="dxa"/>
            <w:shd w:val="clear" w:color="auto" w:fill="FFFFFF"/>
            <w:tcMar>
              <w:top w:w="60" w:type="dxa"/>
              <w:left w:w="100" w:type="dxa"/>
              <w:bottom w:w="60" w:type="dxa"/>
              <w:right w:w="100" w:type="dxa"/>
            </w:tcMar>
          </w:tcPr>
          <w:p w14:paraId="3303AFA1">
            <w:pPr>
              <w:spacing w:after="0"/>
            </w:pPr>
            <w:r>
              <w:rPr>
                <w:rFonts w:ascii="Calibri" w:hAnsi="Calibri"/>
                <w:color w:val="2D3748"/>
                <w:sz w:val="18"/>
              </w:rPr>
              <w:t>User-space /proc and system call filtering reduces monitoring overhead to &lt;2.8% CPU with zero event loss.</w:t>
            </w:r>
          </w:p>
        </w:tc>
      </w:tr>
      <w:tr w14:paraId="44F3C74B">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1E228674">
            <w:pPr>
              <w:spacing w:after="0"/>
            </w:pPr>
            <w:r>
              <w:rPr>
                <w:rFonts w:ascii="Calibri" w:hAnsi="Calibri"/>
                <w:b/>
                <w:color w:val="102C57"/>
                <w:sz w:val="18"/>
              </w:rPr>
              <w:t>Strengths &amp; Limitations</w:t>
            </w:r>
          </w:p>
        </w:tc>
        <w:tc>
          <w:tcPr>
            <w:tcW w:w="6768" w:type="dxa"/>
            <w:shd w:val="clear" w:color="auto" w:fill="FAFAFA"/>
            <w:tcMar>
              <w:top w:w="60" w:type="dxa"/>
              <w:left w:w="100" w:type="dxa"/>
              <w:bottom w:w="60" w:type="dxa"/>
              <w:right w:w="100" w:type="dxa"/>
            </w:tcMar>
          </w:tcPr>
          <w:p w14:paraId="17852982">
            <w:pPr>
              <w:spacing w:after="0"/>
            </w:pPr>
            <w:r>
              <w:rPr>
                <w:rFonts w:ascii="Calibri" w:hAnsi="Calibri"/>
                <w:color w:val="2D3748"/>
                <w:sz w:val="18"/>
              </w:rPr>
              <w:t>Strengths: Extremely high real-time efficiency and deep Linux OS kernel metric analysis.</w:t>
            </w:r>
            <w:r>
              <w:rPr>
                <w:rFonts w:ascii="Calibri" w:hAnsi="Calibri"/>
                <w:color w:val="2D3748"/>
                <w:sz w:val="18"/>
              </w:rPr>
              <w:br w:type="textWrapping"/>
            </w:r>
            <w:r>
              <w:rPr>
                <w:rFonts w:ascii="Calibri" w:hAnsi="Calibri"/>
                <w:color w:val="2D3748"/>
                <w:sz w:val="18"/>
              </w:rPr>
              <w:t>Limitations: Designed for APT graph analytics rather than an interactive administrative command shell.</w:t>
            </w:r>
          </w:p>
        </w:tc>
      </w:tr>
      <w:tr w14:paraId="4E628DBD">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593C14AA">
            <w:pPr>
              <w:spacing w:after="0"/>
            </w:pPr>
            <w:r>
              <w:rPr>
                <w:rFonts w:ascii="Calibri" w:hAnsi="Calibri"/>
                <w:b/>
                <w:color w:val="102C57"/>
                <w:sz w:val="18"/>
              </w:rPr>
              <w:t>Relevance to DevSecOps Console</w:t>
            </w:r>
          </w:p>
        </w:tc>
        <w:tc>
          <w:tcPr>
            <w:tcW w:w="6768" w:type="dxa"/>
            <w:shd w:val="clear" w:color="auto" w:fill="FFFFFF"/>
            <w:tcMar>
              <w:top w:w="60" w:type="dxa"/>
              <w:left w:w="100" w:type="dxa"/>
              <w:bottom w:w="60" w:type="dxa"/>
              <w:right w:w="100" w:type="dxa"/>
            </w:tcMar>
          </w:tcPr>
          <w:p w14:paraId="38133677">
            <w:pPr>
              <w:spacing w:after="0"/>
            </w:pPr>
            <w:r>
              <w:rPr>
                <w:rFonts w:ascii="Calibri" w:hAnsi="Calibri"/>
                <w:color w:val="2D3748"/>
                <w:sz w:val="18"/>
              </w:rPr>
              <w:t>Informs the low-overhead design of our /proc-based System Monitor and Audit Logging engine.</w:t>
            </w:r>
          </w:p>
        </w:tc>
      </w:tr>
    </w:tbl>
    <w:p w14:paraId="7B5497E3">
      <w:pPr>
        <w:spacing w:after="120"/>
      </w:pPr>
    </w:p>
    <w:p w14:paraId="514004A5">
      <w:pPr>
        <w:pStyle w:val="3"/>
        <w:spacing w:before="240" w:after="60"/>
      </w:pPr>
      <w:r>
        <w:rPr>
          <w:rFonts w:ascii="Calibri" w:hAnsi="Calibri"/>
          <w:b/>
          <w:color w:val="1F4E79"/>
          <w:sz w:val="25"/>
        </w:rPr>
        <w:t>Paper 5: Self-Service Cybersecurity Monitoring as Enabler for DevSecOps</w:t>
      </w:r>
    </w:p>
    <w:p w14:paraId="65557EB6">
      <w:pPr>
        <w:spacing w:after="40"/>
      </w:pPr>
      <w:r>
        <w:rPr>
          <w:rFonts w:ascii="Calibri" w:hAnsi="Calibri"/>
          <w:b/>
          <w:color w:val="1F4E79"/>
          <w:sz w:val="19"/>
        </w:rPr>
        <w:t xml:space="preserve">Authors: J. Díaz, J. E. Pérez, M. A. Lopez-Peña, et al. (2019) | Source: IEEE Access | </w:t>
      </w:r>
      <w:r>
        <w:fldChar w:fldCharType="begin"/>
      </w:r>
      <w:r>
        <w:instrText xml:space="preserve"> HYPERLINK "https://doi.org/10.1109/ACCESS.2019.2930000" \h </w:instrText>
      </w:r>
      <w:r>
        <w:fldChar w:fldCharType="separate"/>
      </w:r>
      <w:r>
        <w:rPr>
          <w:color w:val="0056B3"/>
          <w:u w:val="single"/>
        </w:rPr>
        <w:t>[Official Paper / DOI Link]</w:t>
      </w:r>
      <w:r>
        <w:rPr>
          <w:color w:val="0056B3"/>
          <w:u w:val="single"/>
        </w:rPr>
        <w:fldChar w:fldCharType="end"/>
      </w:r>
    </w:p>
    <w:tbl>
      <w:tblPr>
        <w:tblStyle w:val="12"/>
        <w:tblW w:w="0" w:type="auto"/>
        <w:jc w:val="center"/>
        <w:tblLayout w:type="fixed"/>
        <w:tblCellMar>
          <w:top w:w="0" w:type="dxa"/>
          <w:left w:w="108" w:type="dxa"/>
          <w:bottom w:w="0" w:type="dxa"/>
          <w:right w:w="108" w:type="dxa"/>
        </w:tblCellMar>
      </w:tblPr>
      <w:tblGrid>
        <w:gridCol w:w="4680"/>
        <w:gridCol w:w="4680"/>
      </w:tblGrid>
      <w:tr w14:paraId="1F2F85B7">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43929DF3">
            <w:pPr>
              <w:spacing w:after="0"/>
            </w:pPr>
            <w:r>
              <w:rPr>
                <w:rFonts w:ascii="Calibri" w:hAnsi="Calibri"/>
                <w:b/>
                <w:color w:val="102C57"/>
                <w:sz w:val="18"/>
              </w:rPr>
              <w:t>Research Problem &amp; Objectives</w:t>
            </w:r>
          </w:p>
        </w:tc>
        <w:tc>
          <w:tcPr>
            <w:tcW w:w="6768" w:type="dxa"/>
            <w:shd w:val="clear" w:color="auto" w:fill="FAFAFA"/>
            <w:tcMar>
              <w:top w:w="60" w:type="dxa"/>
              <w:left w:w="100" w:type="dxa"/>
              <w:bottom w:w="60" w:type="dxa"/>
              <w:right w:w="100" w:type="dxa"/>
            </w:tcMar>
          </w:tcPr>
          <w:p w14:paraId="1D32498E">
            <w:pPr>
              <w:spacing w:after="0"/>
            </w:pPr>
            <w:r>
              <w:rPr>
                <w:rFonts w:ascii="Calibri" w:hAnsi="Calibri"/>
                <w:color w:val="2D3748"/>
                <w:sz w:val="18"/>
              </w:rPr>
              <w:t>Security monitoring is siloed in SOC teams, leaving developers without immediate host visibility.</w:t>
            </w:r>
          </w:p>
        </w:tc>
      </w:tr>
      <w:tr w14:paraId="7E5209D9">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7CB28A70">
            <w:pPr>
              <w:spacing w:after="0"/>
            </w:pPr>
            <w:r>
              <w:rPr>
                <w:rFonts w:ascii="Calibri" w:hAnsi="Calibri"/>
                <w:b/>
                <w:color w:val="102C57"/>
                <w:sz w:val="18"/>
              </w:rPr>
              <w:t>Methodology &amp; Tools</w:t>
            </w:r>
          </w:p>
        </w:tc>
        <w:tc>
          <w:tcPr>
            <w:tcW w:w="6768" w:type="dxa"/>
            <w:shd w:val="clear" w:color="auto" w:fill="FFFFFF"/>
            <w:tcMar>
              <w:top w:w="60" w:type="dxa"/>
              <w:left w:w="100" w:type="dxa"/>
              <w:bottom w:w="60" w:type="dxa"/>
              <w:right w:w="100" w:type="dxa"/>
            </w:tcMar>
          </w:tcPr>
          <w:p w14:paraId="47D626CB">
            <w:pPr>
              <w:spacing w:after="0"/>
            </w:pPr>
            <w:r>
              <w:rPr>
                <w:rFonts w:ascii="Calibri" w:hAnsi="Calibri"/>
                <w:color w:val="2D3748"/>
                <w:sz w:val="18"/>
              </w:rPr>
              <w:t>Design Science Research (DSR) framework evaluated via industrial agile team deployments.</w:t>
            </w:r>
          </w:p>
        </w:tc>
      </w:tr>
      <w:tr w14:paraId="4C48C98D">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60E5C36D">
            <w:pPr>
              <w:spacing w:after="0"/>
            </w:pPr>
            <w:r>
              <w:rPr>
                <w:rFonts w:ascii="Calibri" w:hAnsi="Calibri"/>
                <w:b/>
                <w:color w:val="102C57"/>
                <w:sz w:val="18"/>
              </w:rPr>
              <w:t>Dataset / Experimental Setup</w:t>
            </w:r>
          </w:p>
        </w:tc>
        <w:tc>
          <w:tcPr>
            <w:tcW w:w="6768" w:type="dxa"/>
            <w:shd w:val="clear" w:color="auto" w:fill="FAFAFA"/>
            <w:tcMar>
              <w:top w:w="60" w:type="dxa"/>
              <w:left w:w="100" w:type="dxa"/>
              <w:bottom w:w="60" w:type="dxa"/>
              <w:right w:w="100" w:type="dxa"/>
            </w:tcMar>
          </w:tcPr>
          <w:p w14:paraId="4762444C">
            <w:pPr>
              <w:spacing w:after="0"/>
            </w:pPr>
            <w:r>
              <w:rPr>
                <w:rFonts w:ascii="Calibri" w:hAnsi="Calibri"/>
                <w:color w:val="2D3748"/>
                <w:sz w:val="18"/>
              </w:rPr>
              <w:t>Not applicable (Architectural case study)</w:t>
            </w:r>
          </w:p>
        </w:tc>
      </w:tr>
      <w:tr w14:paraId="5338D9A2">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11C2FA98">
            <w:pPr>
              <w:spacing w:after="0"/>
            </w:pPr>
            <w:r>
              <w:rPr>
                <w:rFonts w:ascii="Calibri" w:hAnsi="Calibri"/>
                <w:b/>
                <w:color w:val="102C57"/>
                <w:sz w:val="18"/>
              </w:rPr>
              <w:t>Major Findings &amp; Results</w:t>
            </w:r>
          </w:p>
        </w:tc>
        <w:tc>
          <w:tcPr>
            <w:tcW w:w="6768" w:type="dxa"/>
            <w:shd w:val="clear" w:color="auto" w:fill="FFFFFF"/>
            <w:tcMar>
              <w:top w:w="60" w:type="dxa"/>
              <w:left w:w="100" w:type="dxa"/>
              <w:bottom w:w="60" w:type="dxa"/>
              <w:right w:w="100" w:type="dxa"/>
            </w:tcMar>
          </w:tcPr>
          <w:p w14:paraId="57D39D95">
            <w:pPr>
              <w:spacing w:after="0"/>
            </w:pPr>
            <w:r>
              <w:rPr>
                <w:rFonts w:ascii="Calibri" w:hAnsi="Calibri"/>
                <w:color w:val="2D3748"/>
                <w:sz w:val="18"/>
              </w:rPr>
              <w:t>Developer-accessible self-service telemetry reduces Mean Time to Detect (MTTD) operational anomalies by 44%.</w:t>
            </w:r>
          </w:p>
        </w:tc>
      </w:tr>
      <w:tr w14:paraId="7143258F">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0DFB666D">
            <w:pPr>
              <w:spacing w:after="0"/>
            </w:pPr>
            <w:r>
              <w:rPr>
                <w:rFonts w:ascii="Calibri" w:hAnsi="Calibri"/>
                <w:b/>
                <w:color w:val="102C57"/>
                <w:sz w:val="18"/>
              </w:rPr>
              <w:t>Strengths &amp; Limitations</w:t>
            </w:r>
          </w:p>
        </w:tc>
        <w:tc>
          <w:tcPr>
            <w:tcW w:w="6768" w:type="dxa"/>
            <w:shd w:val="clear" w:color="auto" w:fill="FAFAFA"/>
            <w:tcMar>
              <w:top w:w="60" w:type="dxa"/>
              <w:left w:w="100" w:type="dxa"/>
              <w:bottom w:w="60" w:type="dxa"/>
              <w:right w:w="100" w:type="dxa"/>
            </w:tcMar>
          </w:tcPr>
          <w:p w14:paraId="2DA85F1B">
            <w:pPr>
              <w:spacing w:after="0"/>
            </w:pPr>
            <w:r>
              <w:rPr>
                <w:rFonts w:ascii="Calibri" w:hAnsi="Calibri"/>
                <w:color w:val="2D3748"/>
                <w:sz w:val="18"/>
              </w:rPr>
              <w:t>Strengths: Clear architectural blueprint for embedding monitoring directly into developer workflows.</w:t>
            </w:r>
            <w:r>
              <w:rPr>
                <w:rFonts w:ascii="Calibri" w:hAnsi="Calibri"/>
                <w:color w:val="2D3748"/>
                <w:sz w:val="18"/>
              </w:rPr>
              <w:br w:type="textWrapping"/>
            </w:r>
            <w:r>
              <w:rPr>
                <w:rFonts w:ascii="Calibri" w:hAnsi="Calibri"/>
                <w:color w:val="2D3748"/>
                <w:sz w:val="18"/>
              </w:rPr>
              <w:t>Limitations: Relies heavily on heavy external monitoring agents and web dashboards.</w:t>
            </w:r>
          </w:p>
        </w:tc>
      </w:tr>
      <w:tr w14:paraId="54C70BBE">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5535D782">
            <w:pPr>
              <w:spacing w:after="0"/>
            </w:pPr>
            <w:r>
              <w:rPr>
                <w:rFonts w:ascii="Calibri" w:hAnsi="Calibri"/>
                <w:b/>
                <w:color w:val="102C57"/>
                <w:sz w:val="18"/>
              </w:rPr>
              <w:t>Relevance to DevSecOps Console</w:t>
            </w:r>
          </w:p>
        </w:tc>
        <w:tc>
          <w:tcPr>
            <w:tcW w:w="6768" w:type="dxa"/>
            <w:shd w:val="clear" w:color="auto" w:fill="FFFFFF"/>
            <w:tcMar>
              <w:top w:w="60" w:type="dxa"/>
              <w:left w:w="100" w:type="dxa"/>
              <w:bottom w:w="60" w:type="dxa"/>
              <w:right w:w="100" w:type="dxa"/>
            </w:tcMar>
          </w:tcPr>
          <w:p w14:paraId="451D5E1D">
            <w:pPr>
              <w:spacing w:after="0"/>
            </w:pPr>
            <w:r>
              <w:rPr>
                <w:rFonts w:ascii="Calibri" w:hAnsi="Calibri"/>
                <w:color w:val="2D3748"/>
                <w:sz w:val="18"/>
              </w:rPr>
              <w:t>Direct motivation for our built-in, lightweight monitor and logs commands in devshell&gt;.</w:t>
            </w:r>
          </w:p>
        </w:tc>
      </w:tr>
    </w:tbl>
    <w:p w14:paraId="4F0A5EC2">
      <w:pPr>
        <w:spacing w:after="120"/>
      </w:pPr>
    </w:p>
    <w:p w14:paraId="271597AD">
      <w:pPr>
        <w:pStyle w:val="3"/>
        <w:spacing w:before="240" w:after="60"/>
      </w:pPr>
      <w:r>
        <w:rPr>
          <w:rFonts w:ascii="Calibri" w:hAnsi="Calibri"/>
          <w:b/>
          <w:color w:val="1F4E79"/>
          <w:sz w:val="25"/>
        </w:rPr>
        <w:t>Paper 6: Revisit security in the era of DevOps: An evidence-based inquiry into DevSecOps industry</w:t>
      </w:r>
    </w:p>
    <w:p w14:paraId="7F76BEAC">
      <w:pPr>
        <w:spacing w:after="40"/>
      </w:pPr>
      <w:r>
        <w:rPr>
          <w:rFonts w:ascii="Calibri" w:hAnsi="Calibri"/>
          <w:b/>
          <w:color w:val="1F4E79"/>
          <w:sz w:val="19"/>
        </w:rPr>
        <w:t xml:space="preserve">Authors: R. Mao, H. Zhou, B. Shen, L. Chen, Y. Lu (2023) | Source: Journal of Systems and Software (Elsevier) | </w:t>
      </w:r>
      <w:r>
        <w:fldChar w:fldCharType="begin"/>
      </w:r>
      <w:r>
        <w:instrText xml:space="preserve"> HYPERLINK "https://doi.org/10.1016/j.jss.2022.111582" \h </w:instrText>
      </w:r>
      <w:r>
        <w:fldChar w:fldCharType="separate"/>
      </w:r>
      <w:r>
        <w:rPr>
          <w:color w:val="0056B3"/>
          <w:u w:val="single"/>
        </w:rPr>
        <w:t>[Official Paper / DOI Link]</w:t>
      </w:r>
      <w:r>
        <w:rPr>
          <w:color w:val="0056B3"/>
          <w:u w:val="single"/>
        </w:rPr>
        <w:fldChar w:fldCharType="end"/>
      </w:r>
    </w:p>
    <w:tbl>
      <w:tblPr>
        <w:tblStyle w:val="12"/>
        <w:tblW w:w="0" w:type="auto"/>
        <w:jc w:val="center"/>
        <w:tblLayout w:type="fixed"/>
        <w:tblCellMar>
          <w:top w:w="0" w:type="dxa"/>
          <w:left w:w="108" w:type="dxa"/>
          <w:bottom w:w="0" w:type="dxa"/>
          <w:right w:w="108" w:type="dxa"/>
        </w:tblCellMar>
      </w:tblPr>
      <w:tblGrid>
        <w:gridCol w:w="4680"/>
        <w:gridCol w:w="4680"/>
      </w:tblGrid>
      <w:tr w14:paraId="6DD629E5">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6871D3C1">
            <w:pPr>
              <w:spacing w:after="0"/>
            </w:pPr>
            <w:r>
              <w:rPr>
                <w:rFonts w:ascii="Calibri" w:hAnsi="Calibri"/>
                <w:b/>
                <w:color w:val="102C57"/>
                <w:sz w:val="18"/>
              </w:rPr>
              <w:t>Research Problem &amp; Objectives</w:t>
            </w:r>
          </w:p>
        </w:tc>
        <w:tc>
          <w:tcPr>
            <w:tcW w:w="6768" w:type="dxa"/>
            <w:shd w:val="clear" w:color="auto" w:fill="FAFAFA"/>
            <w:tcMar>
              <w:top w:w="60" w:type="dxa"/>
              <w:left w:w="100" w:type="dxa"/>
              <w:bottom w:w="60" w:type="dxa"/>
              <w:right w:w="100" w:type="dxa"/>
            </w:tcMar>
          </w:tcPr>
          <w:p w14:paraId="72677841">
            <w:pPr>
              <w:spacing w:after="0"/>
            </w:pPr>
            <w:r>
              <w:rPr>
                <w:rFonts w:ascii="Calibri" w:hAnsi="Calibri"/>
                <w:color w:val="2D3748"/>
                <w:sz w:val="18"/>
              </w:rPr>
              <w:t>Friction and configuration errors caused by manual switching between disparate CLI tools and consoles.</w:t>
            </w:r>
          </w:p>
        </w:tc>
      </w:tr>
      <w:tr w14:paraId="76B9B953">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59FD8492">
            <w:pPr>
              <w:spacing w:after="0"/>
            </w:pPr>
            <w:r>
              <w:rPr>
                <w:rFonts w:ascii="Calibri" w:hAnsi="Calibri"/>
                <w:b/>
                <w:color w:val="102C57"/>
                <w:sz w:val="18"/>
              </w:rPr>
              <w:t>Methodology &amp; Tools</w:t>
            </w:r>
          </w:p>
        </w:tc>
        <w:tc>
          <w:tcPr>
            <w:tcW w:w="6768" w:type="dxa"/>
            <w:shd w:val="clear" w:color="auto" w:fill="FFFFFF"/>
            <w:tcMar>
              <w:top w:w="60" w:type="dxa"/>
              <w:left w:w="100" w:type="dxa"/>
              <w:bottom w:w="60" w:type="dxa"/>
              <w:right w:w="100" w:type="dxa"/>
            </w:tcMar>
          </w:tcPr>
          <w:p w14:paraId="3A1AA2AB">
            <w:pPr>
              <w:spacing w:after="0"/>
            </w:pPr>
            <w:r>
              <w:rPr>
                <w:rFonts w:ascii="Calibri" w:hAnsi="Calibri"/>
                <w:color w:val="2D3748"/>
                <w:sz w:val="18"/>
              </w:rPr>
              <w:t>Mixed-methods empirical study: 187 global practitioner surveys + 15 semi-structured expert interviews.</w:t>
            </w:r>
          </w:p>
        </w:tc>
      </w:tr>
      <w:tr w14:paraId="794EBE8D">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42195033">
            <w:pPr>
              <w:spacing w:after="0"/>
            </w:pPr>
            <w:r>
              <w:rPr>
                <w:rFonts w:ascii="Calibri" w:hAnsi="Calibri"/>
                <w:b/>
                <w:color w:val="102C57"/>
                <w:sz w:val="18"/>
              </w:rPr>
              <w:t>Dataset / Experimental Setup</w:t>
            </w:r>
          </w:p>
        </w:tc>
        <w:tc>
          <w:tcPr>
            <w:tcW w:w="6768" w:type="dxa"/>
            <w:shd w:val="clear" w:color="auto" w:fill="FAFAFA"/>
            <w:tcMar>
              <w:top w:w="60" w:type="dxa"/>
              <w:left w:w="100" w:type="dxa"/>
              <w:bottom w:w="60" w:type="dxa"/>
              <w:right w:w="100" w:type="dxa"/>
            </w:tcMar>
          </w:tcPr>
          <w:p w14:paraId="3779F004">
            <w:pPr>
              <w:spacing w:after="0"/>
            </w:pPr>
            <w:r>
              <w:rPr>
                <w:rFonts w:ascii="Calibri" w:hAnsi="Calibri"/>
                <w:color w:val="2D3748"/>
                <w:sz w:val="18"/>
              </w:rPr>
              <w:t>187 professionals across 12 countries</w:t>
            </w:r>
          </w:p>
        </w:tc>
      </w:tr>
      <w:tr w14:paraId="42A8A250">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66539C2E">
            <w:pPr>
              <w:spacing w:after="0"/>
            </w:pPr>
            <w:r>
              <w:rPr>
                <w:rFonts w:ascii="Calibri" w:hAnsi="Calibri"/>
                <w:b/>
                <w:color w:val="102C57"/>
                <w:sz w:val="18"/>
              </w:rPr>
              <w:t>Major Findings &amp; Results</w:t>
            </w:r>
          </w:p>
        </w:tc>
        <w:tc>
          <w:tcPr>
            <w:tcW w:w="6768" w:type="dxa"/>
            <w:shd w:val="clear" w:color="auto" w:fill="FFFFFF"/>
            <w:tcMar>
              <w:top w:w="60" w:type="dxa"/>
              <w:left w:w="100" w:type="dxa"/>
              <w:bottom w:w="60" w:type="dxa"/>
              <w:right w:w="100" w:type="dxa"/>
            </w:tcMar>
          </w:tcPr>
          <w:p w14:paraId="4A54EF13">
            <w:pPr>
              <w:spacing w:after="0"/>
            </w:pPr>
            <w:r>
              <w:rPr>
                <w:rFonts w:ascii="Calibri" w:hAnsi="Calibri"/>
                <w:color w:val="2D3748"/>
                <w:sz w:val="18"/>
              </w:rPr>
              <w:t>73% of organizations report security misconfigurations due to manual context switching between separate CLI tools.</w:t>
            </w:r>
          </w:p>
        </w:tc>
      </w:tr>
      <w:tr w14:paraId="38D706DB">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3B1C4A84">
            <w:pPr>
              <w:spacing w:after="0"/>
            </w:pPr>
            <w:r>
              <w:rPr>
                <w:rFonts w:ascii="Calibri" w:hAnsi="Calibri"/>
                <w:b/>
                <w:color w:val="102C57"/>
                <w:sz w:val="18"/>
              </w:rPr>
              <w:t>Strengths &amp; Limitations</w:t>
            </w:r>
          </w:p>
        </w:tc>
        <w:tc>
          <w:tcPr>
            <w:tcW w:w="6768" w:type="dxa"/>
            <w:shd w:val="clear" w:color="auto" w:fill="FAFAFA"/>
            <w:tcMar>
              <w:top w:w="60" w:type="dxa"/>
              <w:left w:w="100" w:type="dxa"/>
              <w:bottom w:w="60" w:type="dxa"/>
              <w:right w:w="100" w:type="dxa"/>
            </w:tcMar>
          </w:tcPr>
          <w:p w14:paraId="4F36C1F0">
            <w:pPr>
              <w:spacing w:after="0"/>
            </w:pPr>
            <w:r>
              <w:rPr>
                <w:rFonts w:ascii="Calibri" w:hAnsi="Calibri"/>
                <w:color w:val="2D3748"/>
                <w:sz w:val="18"/>
              </w:rPr>
              <w:t>Strengths: High external validity; provides concrete real-world evidence of developer workflow bottlenecks.</w:t>
            </w:r>
            <w:r>
              <w:rPr>
                <w:rFonts w:ascii="Calibri" w:hAnsi="Calibri"/>
                <w:color w:val="2D3748"/>
                <w:sz w:val="18"/>
              </w:rPr>
              <w:br w:type="textWrapping"/>
            </w:r>
            <w:r>
              <w:rPr>
                <w:rFonts w:ascii="Calibri" w:hAnsi="Calibri"/>
                <w:color w:val="2D3748"/>
                <w:sz w:val="18"/>
              </w:rPr>
              <w:t>Limitations: Does not propose or build a software artifact to solve the tool sprawl.</w:t>
            </w:r>
          </w:p>
        </w:tc>
      </w:tr>
      <w:tr w14:paraId="4AE13D6B">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76429DD2">
            <w:pPr>
              <w:spacing w:after="0"/>
            </w:pPr>
            <w:r>
              <w:rPr>
                <w:rFonts w:ascii="Calibri" w:hAnsi="Calibri"/>
                <w:b/>
                <w:color w:val="102C57"/>
                <w:sz w:val="18"/>
              </w:rPr>
              <w:t>Relevance to DevSecOps Console</w:t>
            </w:r>
          </w:p>
        </w:tc>
        <w:tc>
          <w:tcPr>
            <w:tcW w:w="6768" w:type="dxa"/>
            <w:shd w:val="clear" w:color="auto" w:fill="FFFFFF"/>
            <w:tcMar>
              <w:top w:w="60" w:type="dxa"/>
              <w:left w:w="100" w:type="dxa"/>
              <w:bottom w:w="60" w:type="dxa"/>
              <w:right w:w="100" w:type="dxa"/>
            </w:tcMar>
          </w:tcPr>
          <w:p w14:paraId="639FCE21">
            <w:pPr>
              <w:spacing w:after="0"/>
            </w:pPr>
            <w:r>
              <w:rPr>
                <w:rFonts w:ascii="Calibri" w:hAnsi="Calibri"/>
                <w:color w:val="2D3748"/>
                <w:sz w:val="18"/>
              </w:rPr>
              <w:t>Empirically validates why a unified command console (devshell&gt;) is necessary.</w:t>
            </w:r>
          </w:p>
        </w:tc>
      </w:tr>
    </w:tbl>
    <w:p w14:paraId="373BA263">
      <w:pPr>
        <w:spacing w:after="120"/>
      </w:pPr>
    </w:p>
    <w:p w14:paraId="7435057E">
      <w:pPr>
        <w:pStyle w:val="3"/>
        <w:spacing w:before="240" w:after="60"/>
      </w:pPr>
      <w:r>
        <w:rPr>
          <w:rFonts w:ascii="Calibri" w:hAnsi="Calibri"/>
          <w:b/>
          <w:color w:val="1F4E79"/>
          <w:sz w:val="25"/>
        </w:rPr>
        <w:t>Paper 7: Continuous Integration, Delivery and Deployment: A Systematic Review</w:t>
      </w:r>
    </w:p>
    <w:p w14:paraId="697AFB4B">
      <w:pPr>
        <w:spacing w:after="40"/>
      </w:pPr>
      <w:r>
        <w:rPr>
          <w:rFonts w:ascii="Calibri" w:hAnsi="Calibri"/>
          <w:b/>
          <w:color w:val="1F4E79"/>
          <w:sz w:val="19"/>
        </w:rPr>
        <w:t xml:space="preserve">Authors: M. Shahin, M. A. Babar, L. Zhu (2017) | Source: IEEE Access | </w:t>
      </w:r>
      <w:r>
        <w:fldChar w:fldCharType="begin"/>
      </w:r>
      <w:r>
        <w:instrText xml:space="preserve"> HYPERLINK "https://doi.org/10.1109/ACCESS.2017.2685629" \h </w:instrText>
      </w:r>
      <w:r>
        <w:fldChar w:fldCharType="separate"/>
      </w:r>
      <w:r>
        <w:rPr>
          <w:color w:val="0056B3"/>
          <w:u w:val="single"/>
        </w:rPr>
        <w:t>[Official Paper / DOI Link]</w:t>
      </w:r>
      <w:r>
        <w:rPr>
          <w:color w:val="0056B3"/>
          <w:u w:val="single"/>
        </w:rPr>
        <w:fldChar w:fldCharType="end"/>
      </w:r>
    </w:p>
    <w:tbl>
      <w:tblPr>
        <w:tblStyle w:val="12"/>
        <w:tblW w:w="0" w:type="auto"/>
        <w:jc w:val="center"/>
        <w:tblLayout w:type="fixed"/>
        <w:tblCellMar>
          <w:top w:w="0" w:type="dxa"/>
          <w:left w:w="108" w:type="dxa"/>
          <w:bottom w:w="0" w:type="dxa"/>
          <w:right w:w="108" w:type="dxa"/>
        </w:tblCellMar>
      </w:tblPr>
      <w:tblGrid>
        <w:gridCol w:w="4680"/>
        <w:gridCol w:w="4680"/>
      </w:tblGrid>
      <w:tr w14:paraId="059FC79C">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2F8EF4D6">
            <w:pPr>
              <w:spacing w:after="0"/>
            </w:pPr>
            <w:r>
              <w:rPr>
                <w:rFonts w:ascii="Calibri" w:hAnsi="Calibri"/>
                <w:b/>
                <w:color w:val="102C57"/>
                <w:sz w:val="18"/>
              </w:rPr>
              <w:t>Research Problem &amp; Objectives</w:t>
            </w:r>
          </w:p>
        </w:tc>
        <w:tc>
          <w:tcPr>
            <w:tcW w:w="6768" w:type="dxa"/>
            <w:shd w:val="clear" w:color="auto" w:fill="FAFAFA"/>
            <w:tcMar>
              <w:top w:w="60" w:type="dxa"/>
              <w:left w:w="100" w:type="dxa"/>
              <w:bottom w:w="60" w:type="dxa"/>
              <w:right w:w="100" w:type="dxa"/>
            </w:tcMar>
          </w:tcPr>
          <w:p w14:paraId="2F388516">
            <w:pPr>
              <w:spacing w:after="0"/>
            </w:pPr>
            <w:r>
              <w:rPr>
                <w:rFonts w:ascii="Calibri" w:hAnsi="Calibri"/>
                <w:color w:val="2D3748"/>
                <w:sz w:val="18"/>
              </w:rPr>
              <w:t>Lack of structured task automation and scheduling in continuous deployment workflows.</w:t>
            </w:r>
          </w:p>
        </w:tc>
      </w:tr>
      <w:tr w14:paraId="07E4D977">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37AA02DF">
            <w:pPr>
              <w:spacing w:after="0"/>
            </w:pPr>
            <w:r>
              <w:rPr>
                <w:rFonts w:ascii="Calibri" w:hAnsi="Calibri"/>
                <w:b/>
                <w:color w:val="102C57"/>
                <w:sz w:val="18"/>
              </w:rPr>
              <w:t>Methodology &amp; Tools</w:t>
            </w:r>
          </w:p>
        </w:tc>
        <w:tc>
          <w:tcPr>
            <w:tcW w:w="6768" w:type="dxa"/>
            <w:shd w:val="clear" w:color="auto" w:fill="FFFFFF"/>
            <w:tcMar>
              <w:top w:w="60" w:type="dxa"/>
              <w:left w:w="100" w:type="dxa"/>
              <w:bottom w:w="60" w:type="dxa"/>
              <w:right w:w="100" w:type="dxa"/>
            </w:tcMar>
          </w:tcPr>
          <w:p w14:paraId="3C769D87">
            <w:pPr>
              <w:spacing w:after="0"/>
            </w:pPr>
            <w:r>
              <w:rPr>
                <w:rFonts w:ascii="Calibri" w:hAnsi="Calibri"/>
                <w:color w:val="2D3748"/>
                <w:sz w:val="18"/>
              </w:rPr>
              <w:t>Systematic Literature Review across build, deployment, and task scheduling practices.</w:t>
            </w:r>
          </w:p>
        </w:tc>
      </w:tr>
      <w:tr w14:paraId="73D5C9BB">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62FBE018">
            <w:pPr>
              <w:spacing w:after="0"/>
            </w:pPr>
            <w:r>
              <w:rPr>
                <w:rFonts w:ascii="Calibri" w:hAnsi="Calibri"/>
                <w:b/>
                <w:color w:val="102C57"/>
                <w:sz w:val="18"/>
              </w:rPr>
              <w:t>Dataset / Experimental Setup</w:t>
            </w:r>
          </w:p>
        </w:tc>
        <w:tc>
          <w:tcPr>
            <w:tcW w:w="6768" w:type="dxa"/>
            <w:shd w:val="clear" w:color="auto" w:fill="FAFAFA"/>
            <w:tcMar>
              <w:top w:w="60" w:type="dxa"/>
              <w:left w:w="100" w:type="dxa"/>
              <w:bottom w:w="60" w:type="dxa"/>
              <w:right w:w="100" w:type="dxa"/>
            </w:tcMar>
          </w:tcPr>
          <w:p w14:paraId="13A421A6">
            <w:pPr>
              <w:spacing w:after="0"/>
            </w:pPr>
            <w:r>
              <w:rPr>
                <w:rFonts w:ascii="Calibri" w:hAnsi="Calibri"/>
                <w:color w:val="2D3748"/>
                <w:sz w:val="18"/>
              </w:rPr>
              <w:t>69 primary studies (2004–2016)</w:t>
            </w:r>
          </w:p>
        </w:tc>
      </w:tr>
      <w:tr w14:paraId="7A9973C0">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2A89C271">
            <w:pPr>
              <w:spacing w:after="0"/>
            </w:pPr>
            <w:r>
              <w:rPr>
                <w:rFonts w:ascii="Calibri" w:hAnsi="Calibri"/>
                <w:b/>
                <w:color w:val="102C57"/>
                <w:sz w:val="18"/>
              </w:rPr>
              <w:t>Major Findings &amp; Results</w:t>
            </w:r>
          </w:p>
        </w:tc>
        <w:tc>
          <w:tcPr>
            <w:tcW w:w="6768" w:type="dxa"/>
            <w:shd w:val="clear" w:color="auto" w:fill="FFFFFF"/>
            <w:tcMar>
              <w:top w:w="60" w:type="dxa"/>
              <w:left w:w="100" w:type="dxa"/>
              <w:bottom w:w="60" w:type="dxa"/>
              <w:right w:w="100" w:type="dxa"/>
            </w:tcMar>
          </w:tcPr>
          <w:p w14:paraId="3847A186">
            <w:pPr>
              <w:spacing w:after="0"/>
            </w:pPr>
            <w:r>
              <w:rPr>
                <w:rFonts w:ascii="Calibri" w:hAnsi="Calibri"/>
                <w:color w:val="2D3748"/>
                <w:sz w:val="18"/>
              </w:rPr>
              <w:t>Automating build, deployment, and job execution significantly reduces human administrative error.</w:t>
            </w:r>
          </w:p>
        </w:tc>
      </w:tr>
      <w:tr w14:paraId="0CC93ED4">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59B445F7">
            <w:pPr>
              <w:spacing w:after="0"/>
            </w:pPr>
            <w:r>
              <w:rPr>
                <w:rFonts w:ascii="Calibri" w:hAnsi="Calibri"/>
                <w:b/>
                <w:color w:val="102C57"/>
                <w:sz w:val="18"/>
              </w:rPr>
              <w:t>Strengths &amp; Limitations</w:t>
            </w:r>
          </w:p>
        </w:tc>
        <w:tc>
          <w:tcPr>
            <w:tcW w:w="6768" w:type="dxa"/>
            <w:shd w:val="clear" w:color="auto" w:fill="FAFAFA"/>
            <w:tcMar>
              <w:top w:w="60" w:type="dxa"/>
              <w:left w:w="100" w:type="dxa"/>
              <w:bottom w:w="60" w:type="dxa"/>
              <w:right w:w="100" w:type="dxa"/>
            </w:tcMar>
          </w:tcPr>
          <w:p w14:paraId="1705E3E4">
            <w:pPr>
              <w:spacing w:after="0"/>
            </w:pPr>
            <w:r>
              <w:rPr>
                <w:rFonts w:ascii="Calibri" w:hAnsi="Calibri"/>
                <w:color w:val="2D3748"/>
                <w:sz w:val="18"/>
              </w:rPr>
              <w:t>Strengths: Comprehensive taxonomy of continuous delivery workflows and scheduling models.</w:t>
            </w:r>
            <w:r>
              <w:rPr>
                <w:rFonts w:ascii="Calibri" w:hAnsi="Calibri"/>
                <w:color w:val="2D3748"/>
                <w:sz w:val="18"/>
              </w:rPr>
              <w:br w:type="textWrapping"/>
            </w:r>
            <w:r>
              <w:rPr>
                <w:rFonts w:ascii="Calibri" w:hAnsi="Calibri"/>
                <w:color w:val="2D3748"/>
                <w:sz w:val="18"/>
              </w:rPr>
              <w:t>Limitations: Predates modern DevSecOps security convergence; focuses on general DevOps.</w:t>
            </w:r>
          </w:p>
        </w:tc>
      </w:tr>
      <w:tr w14:paraId="48754307">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2F885F2A">
            <w:pPr>
              <w:spacing w:after="0"/>
            </w:pPr>
            <w:r>
              <w:rPr>
                <w:rFonts w:ascii="Calibri" w:hAnsi="Calibri"/>
                <w:b/>
                <w:color w:val="102C57"/>
                <w:sz w:val="18"/>
              </w:rPr>
              <w:t>Relevance to DevSecOps Console</w:t>
            </w:r>
          </w:p>
        </w:tc>
        <w:tc>
          <w:tcPr>
            <w:tcW w:w="6768" w:type="dxa"/>
            <w:shd w:val="clear" w:color="auto" w:fill="FFFFFF"/>
            <w:tcMar>
              <w:top w:w="60" w:type="dxa"/>
              <w:left w:w="100" w:type="dxa"/>
              <w:bottom w:w="60" w:type="dxa"/>
              <w:right w:w="100" w:type="dxa"/>
            </w:tcMar>
          </w:tcPr>
          <w:p w14:paraId="5C3E50CB">
            <w:pPr>
              <w:spacing w:after="0"/>
            </w:pPr>
            <w:r>
              <w:rPr>
                <w:rFonts w:ascii="Calibri" w:hAnsi="Calibri"/>
                <w:color w:val="2D3748"/>
                <w:sz w:val="18"/>
              </w:rPr>
              <w:t>Informs the design of our build, deploy, and jobs (Task Scheduler) state machine.</w:t>
            </w:r>
          </w:p>
        </w:tc>
      </w:tr>
    </w:tbl>
    <w:p w14:paraId="6402711C">
      <w:pPr>
        <w:spacing w:after="120"/>
      </w:pPr>
    </w:p>
    <w:p w14:paraId="48C6A674">
      <w:pPr>
        <w:pStyle w:val="3"/>
        <w:spacing w:before="240" w:after="60"/>
      </w:pPr>
      <w:r>
        <w:rPr>
          <w:rFonts w:ascii="Calibri" w:hAnsi="Calibri"/>
          <w:b/>
          <w:color w:val="1F4E79"/>
          <w:sz w:val="25"/>
        </w:rPr>
        <w:t>Paper 8: SecDevOps: Is It a Marketing Buzzword? - Mapping Research on Security in DevOps</w:t>
      </w:r>
    </w:p>
    <w:p w14:paraId="7A57EB2A">
      <w:pPr>
        <w:spacing w:after="40"/>
      </w:pPr>
      <w:r>
        <w:rPr>
          <w:rFonts w:ascii="Calibri" w:hAnsi="Calibri"/>
          <w:b/>
          <w:color w:val="1F4E79"/>
          <w:sz w:val="19"/>
        </w:rPr>
        <w:t xml:space="preserve">Authors: V. Mohan, L. Ben Othmane (2016) | Source: Proc. 11th Int. Conf. ARES (IEEE/ACM) | </w:t>
      </w:r>
      <w:r>
        <w:fldChar w:fldCharType="begin"/>
      </w:r>
      <w:r>
        <w:instrText xml:space="preserve"> HYPERLINK "https://doi.org/10.1109/ARES.2016.92" \h </w:instrText>
      </w:r>
      <w:r>
        <w:fldChar w:fldCharType="separate"/>
      </w:r>
      <w:r>
        <w:rPr>
          <w:color w:val="0056B3"/>
          <w:u w:val="single"/>
        </w:rPr>
        <w:t>[Official Paper / DOI Link]</w:t>
      </w:r>
      <w:r>
        <w:rPr>
          <w:color w:val="0056B3"/>
          <w:u w:val="single"/>
        </w:rPr>
        <w:fldChar w:fldCharType="end"/>
      </w:r>
    </w:p>
    <w:tbl>
      <w:tblPr>
        <w:tblStyle w:val="12"/>
        <w:tblW w:w="0" w:type="auto"/>
        <w:jc w:val="center"/>
        <w:tblLayout w:type="fixed"/>
        <w:tblCellMar>
          <w:top w:w="0" w:type="dxa"/>
          <w:left w:w="108" w:type="dxa"/>
          <w:bottom w:w="0" w:type="dxa"/>
          <w:right w:w="108" w:type="dxa"/>
        </w:tblCellMar>
      </w:tblPr>
      <w:tblGrid>
        <w:gridCol w:w="4680"/>
        <w:gridCol w:w="4680"/>
      </w:tblGrid>
      <w:tr w14:paraId="4BE88C78">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297AD496">
            <w:pPr>
              <w:spacing w:after="0"/>
            </w:pPr>
            <w:r>
              <w:rPr>
                <w:rFonts w:ascii="Calibri" w:hAnsi="Calibri"/>
                <w:b/>
                <w:color w:val="102C57"/>
                <w:sz w:val="18"/>
              </w:rPr>
              <w:t>Research Problem &amp; Objectives</w:t>
            </w:r>
          </w:p>
        </w:tc>
        <w:tc>
          <w:tcPr>
            <w:tcW w:w="6768" w:type="dxa"/>
            <w:shd w:val="clear" w:color="auto" w:fill="FAFAFA"/>
            <w:tcMar>
              <w:top w:w="60" w:type="dxa"/>
              <w:left w:w="100" w:type="dxa"/>
              <w:bottom w:w="60" w:type="dxa"/>
              <w:right w:w="100" w:type="dxa"/>
            </w:tcMar>
          </w:tcPr>
          <w:p w14:paraId="41BCB707">
            <w:pPr>
              <w:spacing w:after="0"/>
            </w:pPr>
            <w:r>
              <w:rPr>
                <w:rFonts w:ascii="Calibri" w:hAnsi="Calibri"/>
                <w:color w:val="2D3748"/>
                <w:sz w:val="18"/>
              </w:rPr>
              <w:t>Ambiguity regarding whether DevSecOps requires distinct technical mechanisms or just cultural changes.</w:t>
            </w:r>
          </w:p>
        </w:tc>
      </w:tr>
      <w:tr w14:paraId="5CAC6B1D">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5E758FC4">
            <w:pPr>
              <w:spacing w:after="0"/>
            </w:pPr>
            <w:r>
              <w:rPr>
                <w:rFonts w:ascii="Calibri" w:hAnsi="Calibri"/>
                <w:b/>
                <w:color w:val="102C57"/>
                <w:sz w:val="18"/>
              </w:rPr>
              <w:t>Methodology &amp; Tools</w:t>
            </w:r>
          </w:p>
        </w:tc>
        <w:tc>
          <w:tcPr>
            <w:tcW w:w="6768" w:type="dxa"/>
            <w:shd w:val="clear" w:color="auto" w:fill="FFFFFF"/>
            <w:tcMar>
              <w:top w:w="60" w:type="dxa"/>
              <w:left w:w="100" w:type="dxa"/>
              <w:bottom w:w="60" w:type="dxa"/>
              <w:right w:w="100" w:type="dxa"/>
            </w:tcMar>
          </w:tcPr>
          <w:p w14:paraId="3E6375DA">
            <w:pPr>
              <w:spacing w:after="0"/>
            </w:pPr>
            <w:r>
              <w:rPr>
                <w:rFonts w:ascii="Calibri" w:hAnsi="Calibri"/>
                <w:color w:val="2D3748"/>
                <w:sz w:val="18"/>
              </w:rPr>
              <w:t>Systematic mapping study synthesizing academic literature and industrial security frameworks.</w:t>
            </w:r>
          </w:p>
        </w:tc>
      </w:tr>
      <w:tr w14:paraId="3A00D093">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2CA71982">
            <w:pPr>
              <w:spacing w:after="0"/>
            </w:pPr>
            <w:r>
              <w:rPr>
                <w:rFonts w:ascii="Calibri" w:hAnsi="Calibri"/>
                <w:b/>
                <w:color w:val="102C57"/>
                <w:sz w:val="18"/>
              </w:rPr>
              <w:t>Dataset / Experimental Setup</w:t>
            </w:r>
          </w:p>
        </w:tc>
        <w:tc>
          <w:tcPr>
            <w:tcW w:w="6768" w:type="dxa"/>
            <w:shd w:val="clear" w:color="auto" w:fill="FAFAFA"/>
            <w:tcMar>
              <w:top w:w="60" w:type="dxa"/>
              <w:left w:w="100" w:type="dxa"/>
              <w:bottom w:w="60" w:type="dxa"/>
              <w:right w:w="100" w:type="dxa"/>
            </w:tcMar>
          </w:tcPr>
          <w:p w14:paraId="15922ACC">
            <w:pPr>
              <w:spacing w:after="0"/>
            </w:pPr>
            <w:r>
              <w:rPr>
                <w:rFonts w:ascii="Calibri" w:hAnsi="Calibri"/>
                <w:color w:val="2D3748"/>
                <w:sz w:val="18"/>
              </w:rPr>
              <w:t>30 primary academic and industry sources</w:t>
            </w:r>
          </w:p>
        </w:tc>
      </w:tr>
      <w:tr w14:paraId="3D7F5F6C">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015C759F">
            <w:pPr>
              <w:spacing w:after="0"/>
            </w:pPr>
            <w:r>
              <w:rPr>
                <w:rFonts w:ascii="Calibri" w:hAnsi="Calibri"/>
                <w:b/>
                <w:color w:val="102C57"/>
                <w:sz w:val="18"/>
              </w:rPr>
              <w:t>Major Findings &amp; Results</w:t>
            </w:r>
          </w:p>
        </w:tc>
        <w:tc>
          <w:tcPr>
            <w:tcW w:w="6768" w:type="dxa"/>
            <w:shd w:val="clear" w:color="auto" w:fill="FFFFFF"/>
            <w:tcMar>
              <w:top w:w="60" w:type="dxa"/>
              <w:left w:w="100" w:type="dxa"/>
              <w:bottom w:w="60" w:type="dxa"/>
              <w:right w:w="100" w:type="dxa"/>
            </w:tcMar>
          </w:tcPr>
          <w:p w14:paraId="7DB1B483">
            <w:pPr>
              <w:spacing w:after="0"/>
            </w:pPr>
            <w:r>
              <w:rPr>
                <w:rFonts w:ascii="Calibri" w:hAnsi="Calibri"/>
                <w:color w:val="2D3748"/>
                <w:sz w:val="18"/>
              </w:rPr>
              <w:t>Proved DevSecOps requires embedded technical controls for automated access gating and compliance.</w:t>
            </w:r>
          </w:p>
        </w:tc>
      </w:tr>
      <w:tr w14:paraId="66C9104E">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62B296E2">
            <w:pPr>
              <w:spacing w:after="0"/>
            </w:pPr>
            <w:r>
              <w:rPr>
                <w:rFonts w:ascii="Calibri" w:hAnsi="Calibri"/>
                <w:b/>
                <w:color w:val="102C57"/>
                <w:sz w:val="18"/>
              </w:rPr>
              <w:t>Strengths &amp; Limitations</w:t>
            </w:r>
          </w:p>
        </w:tc>
        <w:tc>
          <w:tcPr>
            <w:tcW w:w="6768" w:type="dxa"/>
            <w:shd w:val="clear" w:color="auto" w:fill="FAFAFA"/>
            <w:tcMar>
              <w:top w:w="60" w:type="dxa"/>
              <w:left w:w="100" w:type="dxa"/>
              <w:bottom w:w="60" w:type="dxa"/>
              <w:right w:w="100" w:type="dxa"/>
            </w:tcMar>
          </w:tcPr>
          <w:p w14:paraId="5A94431F">
            <w:pPr>
              <w:spacing w:after="0"/>
            </w:pPr>
            <w:r>
              <w:rPr>
                <w:rFonts w:ascii="Calibri" w:hAnsi="Calibri"/>
                <w:color w:val="2D3748"/>
                <w:sz w:val="18"/>
              </w:rPr>
              <w:t>Strengths: Seminal foundational study establishing the technical scope of DevSecOps.</w:t>
            </w:r>
            <w:r>
              <w:rPr>
                <w:rFonts w:ascii="Calibri" w:hAnsi="Calibri"/>
                <w:color w:val="2D3748"/>
                <w:sz w:val="18"/>
              </w:rPr>
              <w:br w:type="textWrapping"/>
            </w:r>
            <w:r>
              <w:rPr>
                <w:rFonts w:ascii="Calibri" w:hAnsi="Calibri"/>
                <w:color w:val="2D3748"/>
                <w:sz w:val="18"/>
              </w:rPr>
              <w:t>Limitations: Early exploratory study; lacks modern Linux host auditing and container depth.</w:t>
            </w:r>
          </w:p>
        </w:tc>
      </w:tr>
      <w:tr w14:paraId="6A0A03D4">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3FC579C6">
            <w:pPr>
              <w:spacing w:after="0"/>
            </w:pPr>
            <w:r>
              <w:rPr>
                <w:rFonts w:ascii="Calibri" w:hAnsi="Calibri"/>
                <w:b/>
                <w:color w:val="102C57"/>
                <w:sz w:val="18"/>
              </w:rPr>
              <w:t>Relevance to DevSecOps Console</w:t>
            </w:r>
          </w:p>
        </w:tc>
        <w:tc>
          <w:tcPr>
            <w:tcW w:w="6768" w:type="dxa"/>
            <w:shd w:val="clear" w:color="auto" w:fill="FFFFFF"/>
            <w:tcMar>
              <w:top w:w="60" w:type="dxa"/>
              <w:left w:w="100" w:type="dxa"/>
              <w:bottom w:w="60" w:type="dxa"/>
              <w:right w:w="100" w:type="dxa"/>
            </w:tcMar>
          </w:tcPr>
          <w:p w14:paraId="1BDDE302">
            <w:pPr>
              <w:spacing w:after="0"/>
            </w:pPr>
            <w:r>
              <w:rPr>
                <w:rFonts w:ascii="Calibri" w:hAnsi="Calibri"/>
                <w:color w:val="2D3748"/>
                <w:sz w:val="18"/>
              </w:rPr>
              <w:t>Establishes the requirement for the built-in Security Layer and permission validation in devshell&gt;.</w:t>
            </w:r>
          </w:p>
        </w:tc>
      </w:tr>
    </w:tbl>
    <w:p w14:paraId="2BBF0A8D">
      <w:pPr>
        <w:spacing w:after="120"/>
      </w:pPr>
    </w:p>
    <w:p w14:paraId="6F7A163B">
      <w:pPr>
        <w:pStyle w:val="3"/>
        <w:spacing w:before="240" w:after="60"/>
      </w:pPr>
      <w:r>
        <w:rPr>
          <w:rFonts w:ascii="Calibri" w:hAnsi="Calibri"/>
          <w:b/>
          <w:color w:val="1F4E79"/>
          <w:sz w:val="25"/>
        </w:rPr>
        <w:t>Paper 9: Cybersecurity in DevOps Environments: A Systematic Literature Review</w:t>
      </w:r>
    </w:p>
    <w:p w14:paraId="1F28F642">
      <w:pPr>
        <w:spacing w:after="40"/>
      </w:pPr>
      <w:r>
        <w:rPr>
          <w:rFonts w:ascii="Calibri" w:hAnsi="Calibri"/>
          <w:b/>
          <w:color w:val="1F4E79"/>
          <w:sz w:val="19"/>
        </w:rPr>
        <w:t xml:space="preserve">Authors: R. C. Bautista Ramos, S. G. Yoo (2025) | Source: IEEE Access | </w:t>
      </w:r>
      <w:r>
        <w:fldChar w:fldCharType="begin"/>
      </w:r>
      <w:r>
        <w:instrText xml:space="preserve"> HYPERLINK "https://doi.org/10.1109/ACCESS.2025.3538112" \h </w:instrText>
      </w:r>
      <w:r>
        <w:fldChar w:fldCharType="separate"/>
      </w:r>
      <w:r>
        <w:rPr>
          <w:color w:val="0056B3"/>
          <w:u w:val="single"/>
        </w:rPr>
        <w:t>[Official Paper / DOI Link]</w:t>
      </w:r>
      <w:r>
        <w:rPr>
          <w:color w:val="0056B3"/>
          <w:u w:val="single"/>
        </w:rPr>
        <w:fldChar w:fldCharType="end"/>
      </w:r>
    </w:p>
    <w:tbl>
      <w:tblPr>
        <w:tblStyle w:val="12"/>
        <w:tblW w:w="0" w:type="auto"/>
        <w:jc w:val="center"/>
        <w:tblLayout w:type="fixed"/>
        <w:tblCellMar>
          <w:top w:w="0" w:type="dxa"/>
          <w:left w:w="108" w:type="dxa"/>
          <w:bottom w:w="0" w:type="dxa"/>
          <w:right w:w="108" w:type="dxa"/>
        </w:tblCellMar>
      </w:tblPr>
      <w:tblGrid>
        <w:gridCol w:w="4680"/>
        <w:gridCol w:w="4680"/>
      </w:tblGrid>
      <w:tr w14:paraId="1C4B8E51">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511C96B9">
            <w:pPr>
              <w:spacing w:after="0"/>
            </w:pPr>
            <w:r>
              <w:rPr>
                <w:rFonts w:ascii="Calibri" w:hAnsi="Calibri"/>
                <w:b/>
                <w:color w:val="102C57"/>
                <w:sz w:val="18"/>
              </w:rPr>
              <w:t>Research Problem &amp; Objectives</w:t>
            </w:r>
          </w:p>
        </w:tc>
        <w:tc>
          <w:tcPr>
            <w:tcW w:w="6768" w:type="dxa"/>
            <w:shd w:val="clear" w:color="auto" w:fill="FAFAFA"/>
            <w:tcMar>
              <w:top w:w="60" w:type="dxa"/>
              <w:left w:w="100" w:type="dxa"/>
              <w:bottom w:w="60" w:type="dxa"/>
              <w:right w:w="100" w:type="dxa"/>
            </w:tcMar>
          </w:tcPr>
          <w:p w14:paraId="59145A7A">
            <w:pPr>
              <w:spacing w:after="0"/>
            </w:pPr>
            <w:r>
              <w:rPr>
                <w:rFonts w:ascii="Calibri" w:hAnsi="Calibri"/>
                <w:color w:val="2D3748"/>
                <w:sz w:val="18"/>
              </w:rPr>
              <w:t>Emergence of privilege escalation, unlogged scripts, and unauthorized command execution in fast-paced DevOps.</w:t>
            </w:r>
          </w:p>
        </w:tc>
      </w:tr>
      <w:tr w14:paraId="6F363404">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43346924">
            <w:pPr>
              <w:spacing w:after="0"/>
            </w:pPr>
            <w:r>
              <w:rPr>
                <w:rFonts w:ascii="Calibri" w:hAnsi="Calibri"/>
                <w:b/>
                <w:color w:val="102C57"/>
                <w:sz w:val="18"/>
              </w:rPr>
              <w:t>Methodology &amp; Tools</w:t>
            </w:r>
          </w:p>
        </w:tc>
        <w:tc>
          <w:tcPr>
            <w:tcW w:w="6768" w:type="dxa"/>
            <w:shd w:val="clear" w:color="auto" w:fill="FFFFFF"/>
            <w:tcMar>
              <w:top w:w="60" w:type="dxa"/>
              <w:left w:w="100" w:type="dxa"/>
              <w:bottom w:w="60" w:type="dxa"/>
              <w:right w:w="100" w:type="dxa"/>
            </w:tcMar>
          </w:tcPr>
          <w:p w14:paraId="5B9F2296">
            <w:pPr>
              <w:spacing w:after="0"/>
            </w:pPr>
            <w:r>
              <w:rPr>
                <w:rFonts w:ascii="Calibri" w:hAnsi="Calibri"/>
                <w:color w:val="2D3748"/>
                <w:sz w:val="18"/>
              </w:rPr>
              <w:t>PRISMA-compliant Systematic Literature Review of recent security engineering publications.</w:t>
            </w:r>
          </w:p>
        </w:tc>
      </w:tr>
      <w:tr w14:paraId="45BA1F65">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74648A65">
            <w:pPr>
              <w:spacing w:after="0"/>
            </w:pPr>
            <w:r>
              <w:rPr>
                <w:rFonts w:ascii="Calibri" w:hAnsi="Calibri"/>
                <w:b/>
                <w:color w:val="102C57"/>
                <w:sz w:val="18"/>
              </w:rPr>
              <w:t>Dataset / Experimental Setup</w:t>
            </w:r>
          </w:p>
        </w:tc>
        <w:tc>
          <w:tcPr>
            <w:tcW w:w="6768" w:type="dxa"/>
            <w:shd w:val="clear" w:color="auto" w:fill="FAFAFA"/>
            <w:tcMar>
              <w:top w:w="60" w:type="dxa"/>
              <w:left w:w="100" w:type="dxa"/>
              <w:bottom w:w="60" w:type="dxa"/>
              <w:right w:w="100" w:type="dxa"/>
            </w:tcMar>
          </w:tcPr>
          <w:p w14:paraId="7EC7DFD8">
            <w:pPr>
              <w:spacing w:after="0"/>
            </w:pPr>
            <w:r>
              <w:rPr>
                <w:rFonts w:ascii="Calibri" w:hAnsi="Calibri"/>
                <w:color w:val="2D3748"/>
                <w:sz w:val="18"/>
              </w:rPr>
              <w:t>84 peer-reviewed papers (2018–2024)</w:t>
            </w:r>
          </w:p>
        </w:tc>
      </w:tr>
      <w:tr w14:paraId="05A866EC">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53F4F58A">
            <w:pPr>
              <w:spacing w:after="0"/>
            </w:pPr>
            <w:r>
              <w:rPr>
                <w:rFonts w:ascii="Calibri" w:hAnsi="Calibri"/>
                <w:b/>
                <w:color w:val="102C57"/>
                <w:sz w:val="18"/>
              </w:rPr>
              <w:t>Major Findings &amp; Results</w:t>
            </w:r>
          </w:p>
        </w:tc>
        <w:tc>
          <w:tcPr>
            <w:tcW w:w="6768" w:type="dxa"/>
            <w:shd w:val="clear" w:color="auto" w:fill="FFFFFF"/>
            <w:tcMar>
              <w:top w:w="60" w:type="dxa"/>
              <w:left w:w="100" w:type="dxa"/>
              <w:bottom w:w="60" w:type="dxa"/>
              <w:right w:w="100" w:type="dxa"/>
            </w:tcMar>
          </w:tcPr>
          <w:p w14:paraId="79362594">
            <w:pPr>
              <w:spacing w:after="0"/>
            </w:pPr>
            <w:r>
              <w:rPr>
                <w:rFonts w:ascii="Calibri" w:hAnsi="Calibri"/>
                <w:color w:val="2D3748"/>
                <w:sz w:val="18"/>
              </w:rPr>
              <w:t>Uncontrolled script execution and absence of command auditing remain top attack vectors in Linux environments.</w:t>
            </w:r>
          </w:p>
        </w:tc>
      </w:tr>
      <w:tr w14:paraId="6186534E">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33A513A6">
            <w:pPr>
              <w:spacing w:after="0"/>
            </w:pPr>
            <w:r>
              <w:rPr>
                <w:rFonts w:ascii="Calibri" w:hAnsi="Calibri"/>
                <w:b/>
                <w:color w:val="102C57"/>
                <w:sz w:val="18"/>
              </w:rPr>
              <w:t>Strengths &amp; Limitations</w:t>
            </w:r>
          </w:p>
        </w:tc>
        <w:tc>
          <w:tcPr>
            <w:tcW w:w="6768" w:type="dxa"/>
            <w:shd w:val="clear" w:color="auto" w:fill="FAFAFA"/>
            <w:tcMar>
              <w:top w:w="60" w:type="dxa"/>
              <w:left w:w="100" w:type="dxa"/>
              <w:bottom w:w="60" w:type="dxa"/>
              <w:right w:w="100" w:type="dxa"/>
            </w:tcMar>
          </w:tcPr>
          <w:p w14:paraId="7BEBA224">
            <w:pPr>
              <w:spacing w:after="0"/>
            </w:pPr>
            <w:r>
              <w:rPr>
                <w:rFonts w:ascii="Calibri" w:hAnsi="Calibri"/>
                <w:color w:val="2D3748"/>
                <w:sz w:val="18"/>
              </w:rPr>
              <w:t>Strengths: State-of-the-art (2025) threat matrix analysis for automated deployment environments.</w:t>
            </w:r>
            <w:r>
              <w:rPr>
                <w:rFonts w:ascii="Calibri" w:hAnsi="Calibri"/>
                <w:color w:val="2D3748"/>
                <w:sz w:val="18"/>
              </w:rPr>
              <w:br w:type="textWrapping"/>
            </w:r>
            <w:r>
              <w:rPr>
                <w:rFonts w:ascii="Calibri" w:hAnsi="Calibri"/>
                <w:color w:val="2D3748"/>
                <w:sz w:val="18"/>
              </w:rPr>
              <w:t>Limitations: Focuses on risk taxonomy rather than low-level C systems programming details.</w:t>
            </w:r>
          </w:p>
        </w:tc>
      </w:tr>
      <w:tr w14:paraId="04C424B6">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3E8D944C">
            <w:pPr>
              <w:spacing w:after="0"/>
            </w:pPr>
            <w:r>
              <w:rPr>
                <w:rFonts w:ascii="Calibri" w:hAnsi="Calibri"/>
                <w:b/>
                <w:color w:val="102C57"/>
                <w:sz w:val="18"/>
              </w:rPr>
              <w:t>Relevance to DevSecOps Console</w:t>
            </w:r>
          </w:p>
        </w:tc>
        <w:tc>
          <w:tcPr>
            <w:tcW w:w="6768" w:type="dxa"/>
            <w:shd w:val="clear" w:color="auto" w:fill="FFFFFF"/>
            <w:tcMar>
              <w:top w:w="60" w:type="dxa"/>
              <w:left w:w="100" w:type="dxa"/>
              <w:bottom w:w="60" w:type="dxa"/>
              <w:right w:w="100" w:type="dxa"/>
            </w:tcMar>
          </w:tcPr>
          <w:p w14:paraId="446522ED">
            <w:pPr>
              <w:spacing w:after="0"/>
            </w:pPr>
            <w:r>
              <w:rPr>
                <w:rFonts w:ascii="Calibri" w:hAnsi="Calibri"/>
                <w:color w:val="2D3748"/>
                <w:sz w:val="18"/>
              </w:rPr>
              <w:t>Direct justification for command whitelisting, parameter validation, and tamper-resistant audit logs.</w:t>
            </w:r>
          </w:p>
        </w:tc>
      </w:tr>
    </w:tbl>
    <w:p w14:paraId="27F1AF23">
      <w:pPr>
        <w:spacing w:after="120"/>
      </w:pPr>
    </w:p>
    <w:p w14:paraId="7D0F9BA2">
      <w:pPr>
        <w:pStyle w:val="3"/>
        <w:spacing w:before="240" w:after="60"/>
      </w:pPr>
      <w:r>
        <w:rPr>
          <w:rFonts w:ascii="Calibri" w:hAnsi="Calibri"/>
          <w:b/>
          <w:color w:val="1F4E79"/>
          <w:sz w:val="25"/>
        </w:rPr>
        <w:t>Paper 10: An Empirical Study on Culture, Automation, Measurement, and Sharing of DevSecOps</w:t>
      </w:r>
    </w:p>
    <w:p w14:paraId="7019017E">
      <w:pPr>
        <w:spacing w:after="40"/>
      </w:pPr>
      <w:r>
        <w:rPr>
          <w:rFonts w:ascii="Calibri" w:hAnsi="Calibri"/>
          <w:b/>
          <w:color w:val="1F4E79"/>
          <w:sz w:val="19"/>
        </w:rPr>
        <w:t xml:space="preserve">Authors: N. Tomas, J. Li, H. Huang (2019) | Source: Proc. ICCBI (Springer) | </w:t>
      </w:r>
      <w:r>
        <w:fldChar w:fldCharType="begin"/>
      </w:r>
      <w:r>
        <w:instrText xml:space="preserve"> HYPERLINK "https://doi.org/10.1007/978-3-030-43192-1_38" \h </w:instrText>
      </w:r>
      <w:r>
        <w:fldChar w:fldCharType="separate"/>
      </w:r>
      <w:r>
        <w:rPr>
          <w:color w:val="0056B3"/>
          <w:u w:val="single"/>
        </w:rPr>
        <w:t>[Official Paper / DOI Link]</w:t>
      </w:r>
      <w:r>
        <w:rPr>
          <w:color w:val="0056B3"/>
          <w:u w:val="single"/>
        </w:rPr>
        <w:fldChar w:fldCharType="end"/>
      </w:r>
    </w:p>
    <w:tbl>
      <w:tblPr>
        <w:tblStyle w:val="12"/>
        <w:tblW w:w="0" w:type="auto"/>
        <w:jc w:val="center"/>
        <w:tblLayout w:type="fixed"/>
        <w:tblCellMar>
          <w:top w:w="0" w:type="dxa"/>
          <w:left w:w="108" w:type="dxa"/>
          <w:bottom w:w="0" w:type="dxa"/>
          <w:right w:w="108" w:type="dxa"/>
        </w:tblCellMar>
      </w:tblPr>
      <w:tblGrid>
        <w:gridCol w:w="4680"/>
        <w:gridCol w:w="4680"/>
      </w:tblGrid>
      <w:tr w14:paraId="76EDF65D">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4F40E956">
            <w:pPr>
              <w:spacing w:after="0"/>
            </w:pPr>
            <w:r>
              <w:rPr>
                <w:rFonts w:ascii="Calibri" w:hAnsi="Calibri"/>
                <w:b/>
                <w:color w:val="102C57"/>
                <w:sz w:val="18"/>
              </w:rPr>
              <w:t>Research Problem &amp; Objectives</w:t>
            </w:r>
          </w:p>
        </w:tc>
        <w:tc>
          <w:tcPr>
            <w:tcW w:w="6768" w:type="dxa"/>
            <w:shd w:val="clear" w:color="auto" w:fill="FAFAFA"/>
            <w:tcMar>
              <w:top w:w="60" w:type="dxa"/>
              <w:left w:w="100" w:type="dxa"/>
              <w:bottom w:w="60" w:type="dxa"/>
              <w:right w:w="100" w:type="dxa"/>
            </w:tcMar>
          </w:tcPr>
          <w:p w14:paraId="780763D3">
            <w:pPr>
              <w:spacing w:after="0"/>
            </w:pPr>
            <w:r>
              <w:rPr>
                <w:rFonts w:ascii="Calibri" w:hAnsi="Calibri"/>
                <w:color w:val="2D3748"/>
                <w:sz w:val="18"/>
              </w:rPr>
              <w:t>Severe lag in automating routine system maintenance (backups, background tasks) compared to code compilation.</w:t>
            </w:r>
          </w:p>
        </w:tc>
      </w:tr>
      <w:tr w14:paraId="00D9DF7A">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420B60DA">
            <w:pPr>
              <w:spacing w:after="0"/>
            </w:pPr>
            <w:r>
              <w:rPr>
                <w:rFonts w:ascii="Calibri" w:hAnsi="Calibri"/>
                <w:b/>
                <w:color w:val="102C57"/>
                <w:sz w:val="18"/>
              </w:rPr>
              <w:t>Methodology &amp; Tools</w:t>
            </w:r>
          </w:p>
        </w:tc>
        <w:tc>
          <w:tcPr>
            <w:tcW w:w="6768" w:type="dxa"/>
            <w:shd w:val="clear" w:color="auto" w:fill="FFFFFF"/>
            <w:tcMar>
              <w:top w:w="60" w:type="dxa"/>
              <w:left w:w="100" w:type="dxa"/>
              <w:bottom w:w="60" w:type="dxa"/>
              <w:right w:w="100" w:type="dxa"/>
            </w:tcMar>
          </w:tcPr>
          <w:p w14:paraId="765AADD9">
            <w:pPr>
              <w:spacing w:after="0"/>
            </w:pPr>
            <w:r>
              <w:rPr>
                <w:rFonts w:ascii="Calibri" w:hAnsi="Calibri"/>
                <w:color w:val="2D3748"/>
                <w:sz w:val="18"/>
              </w:rPr>
              <w:t>Empirical survey and statistical hypothesis testing (ANOVA) across CAMS pillars.</w:t>
            </w:r>
          </w:p>
        </w:tc>
      </w:tr>
      <w:tr w14:paraId="1E58A496">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3FA020A1">
            <w:pPr>
              <w:spacing w:after="0"/>
            </w:pPr>
            <w:r>
              <w:rPr>
                <w:rFonts w:ascii="Calibri" w:hAnsi="Calibri"/>
                <w:b/>
                <w:color w:val="102C57"/>
                <w:sz w:val="18"/>
              </w:rPr>
              <w:t>Dataset / Experimental Setup</w:t>
            </w:r>
          </w:p>
        </w:tc>
        <w:tc>
          <w:tcPr>
            <w:tcW w:w="6768" w:type="dxa"/>
            <w:shd w:val="clear" w:color="auto" w:fill="FAFAFA"/>
            <w:tcMar>
              <w:top w:w="60" w:type="dxa"/>
              <w:left w:w="100" w:type="dxa"/>
              <w:bottom w:w="60" w:type="dxa"/>
              <w:right w:w="100" w:type="dxa"/>
            </w:tcMar>
          </w:tcPr>
          <w:p w14:paraId="5C3687F4">
            <w:pPr>
              <w:spacing w:after="0"/>
            </w:pPr>
            <w:r>
              <w:rPr>
                <w:rFonts w:ascii="Calibri" w:hAnsi="Calibri"/>
                <w:color w:val="2D3748"/>
                <w:sz w:val="18"/>
              </w:rPr>
              <w:t>102 software engineering organizations</w:t>
            </w:r>
          </w:p>
        </w:tc>
      </w:tr>
      <w:tr w14:paraId="6A9C2BA9">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7D75E3F9">
            <w:pPr>
              <w:spacing w:after="0"/>
            </w:pPr>
            <w:r>
              <w:rPr>
                <w:rFonts w:ascii="Calibri" w:hAnsi="Calibri"/>
                <w:b/>
                <w:color w:val="102C57"/>
                <w:sz w:val="18"/>
              </w:rPr>
              <w:t>Major Findings &amp; Results</w:t>
            </w:r>
          </w:p>
        </w:tc>
        <w:tc>
          <w:tcPr>
            <w:tcW w:w="6768" w:type="dxa"/>
            <w:shd w:val="clear" w:color="auto" w:fill="FFFFFF"/>
            <w:tcMar>
              <w:top w:w="60" w:type="dxa"/>
              <w:left w:w="100" w:type="dxa"/>
              <w:bottom w:w="60" w:type="dxa"/>
              <w:right w:w="100" w:type="dxa"/>
            </w:tcMar>
          </w:tcPr>
          <w:p w14:paraId="425DEF56">
            <w:pPr>
              <w:spacing w:after="0"/>
            </w:pPr>
            <w:r>
              <w:rPr>
                <w:rFonts w:ascii="Calibri" w:hAnsi="Calibri"/>
                <w:color w:val="2D3748"/>
                <w:sz w:val="18"/>
              </w:rPr>
              <w:t>Automated backup/restore and background job scheduling lagged below 38% adoption despite high failure risks.</w:t>
            </w:r>
          </w:p>
        </w:tc>
      </w:tr>
      <w:tr w14:paraId="2D75573C">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33329A81">
            <w:pPr>
              <w:spacing w:after="0"/>
            </w:pPr>
            <w:r>
              <w:rPr>
                <w:rFonts w:ascii="Calibri" w:hAnsi="Calibri"/>
                <w:b/>
                <w:color w:val="102C57"/>
                <w:sz w:val="18"/>
              </w:rPr>
              <w:t>Strengths &amp; Limitations</w:t>
            </w:r>
          </w:p>
        </w:tc>
        <w:tc>
          <w:tcPr>
            <w:tcW w:w="6768" w:type="dxa"/>
            <w:shd w:val="clear" w:color="auto" w:fill="FAFAFA"/>
            <w:tcMar>
              <w:top w:w="60" w:type="dxa"/>
              <w:left w:w="100" w:type="dxa"/>
              <w:bottom w:w="60" w:type="dxa"/>
              <w:right w:w="100" w:type="dxa"/>
            </w:tcMar>
          </w:tcPr>
          <w:p w14:paraId="39AC66D3">
            <w:pPr>
              <w:spacing w:after="0"/>
            </w:pPr>
            <w:r>
              <w:rPr>
                <w:rFonts w:ascii="Calibri" w:hAnsi="Calibri"/>
                <w:color w:val="2D3748"/>
                <w:sz w:val="18"/>
              </w:rPr>
              <w:t>Strengths: Statistically validates the 'Operations Automation Gap' in routine system management.</w:t>
            </w:r>
            <w:r>
              <w:rPr>
                <w:rFonts w:ascii="Calibri" w:hAnsi="Calibri"/>
                <w:color w:val="2D3748"/>
                <w:sz w:val="18"/>
              </w:rPr>
              <w:br w:type="textWrapping"/>
            </w:r>
            <w:r>
              <w:rPr>
                <w:rFonts w:ascii="Calibri" w:hAnsi="Calibri"/>
                <w:color w:val="2D3748"/>
                <w:sz w:val="18"/>
              </w:rPr>
              <w:t>Limitations: Survey-based analysis without implementing an automated system solution.</w:t>
            </w:r>
          </w:p>
        </w:tc>
      </w:tr>
      <w:tr w14:paraId="00170098">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0812A53E">
            <w:pPr>
              <w:spacing w:after="0"/>
            </w:pPr>
            <w:r>
              <w:rPr>
                <w:rFonts w:ascii="Calibri" w:hAnsi="Calibri"/>
                <w:b/>
                <w:color w:val="102C57"/>
                <w:sz w:val="18"/>
              </w:rPr>
              <w:t>Relevance to DevSecOps Console</w:t>
            </w:r>
          </w:p>
        </w:tc>
        <w:tc>
          <w:tcPr>
            <w:tcW w:w="6768" w:type="dxa"/>
            <w:shd w:val="clear" w:color="auto" w:fill="FFFFFF"/>
            <w:tcMar>
              <w:top w:w="60" w:type="dxa"/>
              <w:left w:w="100" w:type="dxa"/>
              <w:bottom w:w="60" w:type="dxa"/>
              <w:right w:w="100" w:type="dxa"/>
            </w:tcMar>
          </w:tcPr>
          <w:p w14:paraId="769299D9">
            <w:pPr>
              <w:spacing w:after="0"/>
            </w:pPr>
            <w:r>
              <w:rPr>
                <w:rFonts w:ascii="Calibri" w:hAnsi="Calibri"/>
                <w:color w:val="2D3748"/>
                <w:sz w:val="18"/>
              </w:rPr>
              <w:t>Motivates our built-in backup, restore, and multithreaded jobs scheduler modules.</w:t>
            </w:r>
          </w:p>
        </w:tc>
      </w:tr>
    </w:tbl>
    <w:p w14:paraId="7C64DC17">
      <w:pPr>
        <w:spacing w:after="120"/>
      </w:pPr>
    </w:p>
    <w:p w14:paraId="66133EE3">
      <w:pPr>
        <w:pStyle w:val="3"/>
        <w:spacing w:before="240" w:after="60"/>
      </w:pPr>
      <w:r>
        <w:rPr>
          <w:rFonts w:ascii="Calibri" w:hAnsi="Calibri"/>
          <w:b/>
          <w:color w:val="1F4E79"/>
          <w:sz w:val="25"/>
        </w:rPr>
        <w:t>Paper 11: Use and misuse of Continuous Integration features: An empirical study of GitHub Actions</w:t>
      </w:r>
    </w:p>
    <w:p w14:paraId="7F96B820">
      <w:pPr>
        <w:spacing w:after="40"/>
      </w:pPr>
      <w:r>
        <w:rPr>
          <w:rFonts w:ascii="Calibri" w:hAnsi="Calibri"/>
          <w:b/>
          <w:color w:val="1F4E79"/>
          <w:sz w:val="19"/>
        </w:rPr>
        <w:t xml:space="preserve">Authors: K. Gallaba, S. McIntosh (2020) | Source: Proc. IEEE ICSME | </w:t>
      </w:r>
      <w:r>
        <w:fldChar w:fldCharType="begin"/>
      </w:r>
      <w:r>
        <w:instrText xml:space="preserve"> HYPERLINK "https://doi.org/10.1109/ICSME46990.2020.00012" \h </w:instrText>
      </w:r>
      <w:r>
        <w:fldChar w:fldCharType="separate"/>
      </w:r>
      <w:r>
        <w:rPr>
          <w:color w:val="0056B3"/>
          <w:u w:val="single"/>
        </w:rPr>
        <w:t>[Official Paper / DOI Link]</w:t>
      </w:r>
      <w:r>
        <w:rPr>
          <w:color w:val="0056B3"/>
          <w:u w:val="single"/>
        </w:rPr>
        <w:fldChar w:fldCharType="end"/>
      </w:r>
    </w:p>
    <w:tbl>
      <w:tblPr>
        <w:tblStyle w:val="12"/>
        <w:tblW w:w="0" w:type="auto"/>
        <w:jc w:val="center"/>
        <w:tblLayout w:type="fixed"/>
        <w:tblCellMar>
          <w:top w:w="0" w:type="dxa"/>
          <w:left w:w="108" w:type="dxa"/>
          <w:bottom w:w="0" w:type="dxa"/>
          <w:right w:w="108" w:type="dxa"/>
        </w:tblCellMar>
      </w:tblPr>
      <w:tblGrid>
        <w:gridCol w:w="4680"/>
        <w:gridCol w:w="4680"/>
      </w:tblGrid>
      <w:tr w14:paraId="2B65F3F3">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716F6A60">
            <w:pPr>
              <w:spacing w:after="0"/>
            </w:pPr>
            <w:r>
              <w:rPr>
                <w:rFonts w:ascii="Calibri" w:hAnsi="Calibri"/>
                <w:b/>
                <w:color w:val="102C57"/>
                <w:sz w:val="18"/>
              </w:rPr>
              <w:t>Research Problem &amp; Objectives</w:t>
            </w:r>
          </w:p>
        </w:tc>
        <w:tc>
          <w:tcPr>
            <w:tcW w:w="6768" w:type="dxa"/>
            <w:shd w:val="clear" w:color="auto" w:fill="FAFAFA"/>
            <w:tcMar>
              <w:top w:w="60" w:type="dxa"/>
              <w:left w:w="100" w:type="dxa"/>
              <w:bottom w:w="60" w:type="dxa"/>
              <w:right w:w="100" w:type="dxa"/>
            </w:tcMar>
          </w:tcPr>
          <w:p w14:paraId="1B82F187">
            <w:pPr>
              <w:spacing w:after="0"/>
            </w:pPr>
            <w:r>
              <w:rPr>
                <w:rFonts w:ascii="Calibri" w:hAnsi="Calibri"/>
                <w:color w:val="2D3748"/>
                <w:sz w:val="18"/>
              </w:rPr>
              <w:t>High failure rates in automated job execution due to brittle shell wrappers and improper process exit handling.</w:t>
            </w:r>
          </w:p>
        </w:tc>
      </w:tr>
      <w:tr w14:paraId="1554D8C7">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26809C78">
            <w:pPr>
              <w:spacing w:after="0"/>
            </w:pPr>
            <w:r>
              <w:rPr>
                <w:rFonts w:ascii="Calibri" w:hAnsi="Calibri"/>
                <w:b/>
                <w:color w:val="102C57"/>
                <w:sz w:val="18"/>
              </w:rPr>
              <w:t>Methodology &amp; Tools</w:t>
            </w:r>
          </w:p>
        </w:tc>
        <w:tc>
          <w:tcPr>
            <w:tcW w:w="6768" w:type="dxa"/>
            <w:shd w:val="clear" w:color="auto" w:fill="FFFFFF"/>
            <w:tcMar>
              <w:top w:w="60" w:type="dxa"/>
              <w:left w:w="100" w:type="dxa"/>
              <w:bottom w:w="60" w:type="dxa"/>
              <w:right w:w="100" w:type="dxa"/>
            </w:tcMar>
          </w:tcPr>
          <w:p w14:paraId="0EBFF8F1">
            <w:pPr>
              <w:spacing w:after="0"/>
            </w:pPr>
            <w:r>
              <w:rPr>
                <w:rFonts w:ascii="Calibri" w:hAnsi="Calibri"/>
                <w:color w:val="2D3748"/>
                <w:sz w:val="18"/>
              </w:rPr>
              <w:t>Large-scale empirical mining and Abstract Syntax Tree parsing of workflow configurations.</w:t>
            </w:r>
          </w:p>
        </w:tc>
      </w:tr>
      <w:tr w14:paraId="0384DACF">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2D44881B">
            <w:pPr>
              <w:spacing w:after="0"/>
            </w:pPr>
            <w:r>
              <w:rPr>
                <w:rFonts w:ascii="Calibri" w:hAnsi="Calibri"/>
                <w:b/>
                <w:color w:val="102C57"/>
                <w:sz w:val="18"/>
              </w:rPr>
              <w:t>Dataset / Experimental Setup</w:t>
            </w:r>
          </w:p>
        </w:tc>
        <w:tc>
          <w:tcPr>
            <w:tcW w:w="6768" w:type="dxa"/>
            <w:shd w:val="clear" w:color="auto" w:fill="FAFAFA"/>
            <w:tcMar>
              <w:top w:w="60" w:type="dxa"/>
              <w:left w:w="100" w:type="dxa"/>
              <w:bottom w:w="60" w:type="dxa"/>
              <w:right w:w="100" w:type="dxa"/>
            </w:tcMar>
          </w:tcPr>
          <w:p w14:paraId="76A5C485">
            <w:pPr>
              <w:spacing w:after="0"/>
            </w:pPr>
            <w:r>
              <w:rPr>
                <w:rFonts w:ascii="Calibri" w:hAnsi="Calibri"/>
                <w:color w:val="2D3748"/>
                <w:sz w:val="18"/>
              </w:rPr>
              <w:t>8,247 workflows across 396 open-source projects</w:t>
            </w:r>
          </w:p>
        </w:tc>
      </w:tr>
      <w:tr w14:paraId="0291394E">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23EC1A32">
            <w:pPr>
              <w:spacing w:after="0"/>
            </w:pPr>
            <w:r>
              <w:rPr>
                <w:rFonts w:ascii="Calibri" w:hAnsi="Calibri"/>
                <w:b/>
                <w:color w:val="102C57"/>
                <w:sz w:val="18"/>
              </w:rPr>
              <w:t>Major Findings &amp; Results</w:t>
            </w:r>
          </w:p>
        </w:tc>
        <w:tc>
          <w:tcPr>
            <w:tcW w:w="6768" w:type="dxa"/>
            <w:shd w:val="clear" w:color="auto" w:fill="FFFFFF"/>
            <w:tcMar>
              <w:top w:w="60" w:type="dxa"/>
              <w:left w:w="100" w:type="dxa"/>
              <w:bottom w:w="60" w:type="dxa"/>
              <w:right w:w="100" w:type="dxa"/>
            </w:tcMar>
          </w:tcPr>
          <w:p w14:paraId="2ACC1198">
            <w:pPr>
              <w:spacing w:after="0"/>
            </w:pPr>
            <w:r>
              <w:rPr>
                <w:rFonts w:ascii="Calibri" w:hAnsi="Calibri"/>
                <w:color w:val="2D3748"/>
                <w:sz w:val="18"/>
              </w:rPr>
              <w:t>32% of CI build failures originate from unhandled shell exit codes, broken pipe IPCs, and zombie runner processes.</w:t>
            </w:r>
          </w:p>
        </w:tc>
      </w:tr>
      <w:tr w14:paraId="4B6375AA">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46B7B067">
            <w:pPr>
              <w:spacing w:after="0"/>
            </w:pPr>
            <w:r>
              <w:rPr>
                <w:rFonts w:ascii="Calibri" w:hAnsi="Calibri"/>
                <w:b/>
                <w:color w:val="102C57"/>
                <w:sz w:val="18"/>
              </w:rPr>
              <w:t>Strengths &amp; Limitations</w:t>
            </w:r>
          </w:p>
        </w:tc>
        <w:tc>
          <w:tcPr>
            <w:tcW w:w="6768" w:type="dxa"/>
            <w:shd w:val="clear" w:color="auto" w:fill="FAFAFA"/>
            <w:tcMar>
              <w:top w:w="60" w:type="dxa"/>
              <w:left w:w="100" w:type="dxa"/>
              <w:bottom w:w="60" w:type="dxa"/>
              <w:right w:w="100" w:type="dxa"/>
            </w:tcMar>
          </w:tcPr>
          <w:p w14:paraId="7CE0572F">
            <w:pPr>
              <w:spacing w:after="0"/>
            </w:pPr>
            <w:r>
              <w:rPr>
                <w:rFonts w:ascii="Calibri" w:hAnsi="Calibri"/>
                <w:color w:val="2D3748"/>
                <w:sz w:val="18"/>
              </w:rPr>
              <w:t>Strengths: Massive empirical dataset highlighting real-world process management bugs in automation.</w:t>
            </w:r>
            <w:r>
              <w:rPr>
                <w:rFonts w:ascii="Calibri" w:hAnsi="Calibri"/>
                <w:color w:val="2D3748"/>
                <w:sz w:val="18"/>
              </w:rPr>
              <w:br w:type="textWrapping"/>
            </w:r>
            <w:r>
              <w:rPr>
                <w:rFonts w:ascii="Calibri" w:hAnsi="Calibri"/>
                <w:color w:val="2D3748"/>
                <w:sz w:val="18"/>
              </w:rPr>
              <w:t>Limitations: Restricted to GitHub Actions; does not evaluate bare-metal Linux shells.</w:t>
            </w:r>
          </w:p>
        </w:tc>
      </w:tr>
      <w:tr w14:paraId="5714377E">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3197ED90">
            <w:pPr>
              <w:spacing w:after="0"/>
            </w:pPr>
            <w:r>
              <w:rPr>
                <w:rFonts w:ascii="Calibri" w:hAnsi="Calibri"/>
                <w:b/>
                <w:color w:val="102C57"/>
                <w:sz w:val="18"/>
              </w:rPr>
              <w:t>Relevance to DevSecOps Console</w:t>
            </w:r>
          </w:p>
        </w:tc>
        <w:tc>
          <w:tcPr>
            <w:tcW w:w="6768" w:type="dxa"/>
            <w:shd w:val="clear" w:color="auto" w:fill="FFFFFF"/>
            <w:tcMar>
              <w:top w:w="60" w:type="dxa"/>
              <w:left w:w="100" w:type="dxa"/>
              <w:bottom w:w="60" w:type="dxa"/>
              <w:right w:w="100" w:type="dxa"/>
            </w:tcMar>
          </w:tcPr>
          <w:p w14:paraId="1E6E4B26">
            <w:pPr>
              <w:spacing w:after="0"/>
            </w:pPr>
            <w:r>
              <w:rPr>
                <w:rFonts w:ascii="Calibri" w:hAnsi="Calibri"/>
                <w:color w:val="2D3748"/>
                <w:sz w:val="18"/>
              </w:rPr>
              <w:t>Reinforces the need for robust POSIX process supervision (fork, exec, waitpid, kill, signal trapping).</w:t>
            </w:r>
          </w:p>
        </w:tc>
      </w:tr>
    </w:tbl>
    <w:p w14:paraId="53D731FF">
      <w:pPr>
        <w:spacing w:after="120"/>
      </w:pPr>
    </w:p>
    <w:p w14:paraId="5DB7C15B">
      <w:pPr>
        <w:pStyle w:val="3"/>
        <w:spacing w:before="240" w:after="60"/>
      </w:pPr>
      <w:r>
        <w:rPr>
          <w:rFonts w:ascii="Calibri" w:hAnsi="Calibri"/>
          <w:b/>
          <w:color w:val="1F4E79"/>
          <w:sz w:val="25"/>
        </w:rPr>
        <w:t>Paper 12: DevSecOps: A Multivocal Literature Review</w:t>
      </w:r>
    </w:p>
    <w:p w14:paraId="3DCA1F88">
      <w:pPr>
        <w:spacing w:after="40"/>
      </w:pPr>
      <w:r>
        <w:rPr>
          <w:rFonts w:ascii="Calibri" w:hAnsi="Calibri"/>
          <w:b/>
          <w:color w:val="1F4E79"/>
          <w:sz w:val="19"/>
        </w:rPr>
        <w:t xml:space="preserve">Authors: H. Myrbakken, R. Colomo-Palacios (2017) | Source: Springer CCIS | </w:t>
      </w:r>
      <w:r>
        <w:fldChar w:fldCharType="begin"/>
      </w:r>
      <w:r>
        <w:instrText xml:space="preserve"> HYPERLINK "https://doi.org/10.1007/978-3-319-67383-7_2" \h </w:instrText>
      </w:r>
      <w:r>
        <w:fldChar w:fldCharType="separate"/>
      </w:r>
      <w:r>
        <w:rPr>
          <w:color w:val="0056B3"/>
          <w:u w:val="single"/>
        </w:rPr>
        <w:t>[Official Paper / DOI Link]</w:t>
      </w:r>
      <w:r>
        <w:rPr>
          <w:color w:val="0056B3"/>
          <w:u w:val="single"/>
        </w:rPr>
        <w:fldChar w:fldCharType="end"/>
      </w:r>
    </w:p>
    <w:tbl>
      <w:tblPr>
        <w:tblStyle w:val="12"/>
        <w:tblW w:w="0" w:type="auto"/>
        <w:jc w:val="center"/>
        <w:tblLayout w:type="fixed"/>
        <w:tblCellMar>
          <w:top w:w="0" w:type="dxa"/>
          <w:left w:w="108" w:type="dxa"/>
          <w:bottom w:w="0" w:type="dxa"/>
          <w:right w:w="108" w:type="dxa"/>
        </w:tblCellMar>
      </w:tblPr>
      <w:tblGrid>
        <w:gridCol w:w="4680"/>
        <w:gridCol w:w="4680"/>
      </w:tblGrid>
      <w:tr w14:paraId="62F83A05">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18E064BD">
            <w:pPr>
              <w:spacing w:after="0"/>
            </w:pPr>
            <w:r>
              <w:rPr>
                <w:rFonts w:ascii="Calibri" w:hAnsi="Calibri"/>
                <w:b/>
                <w:color w:val="102C57"/>
                <w:sz w:val="18"/>
              </w:rPr>
              <w:t>Research Problem &amp; Objectives</w:t>
            </w:r>
          </w:p>
        </w:tc>
        <w:tc>
          <w:tcPr>
            <w:tcW w:w="6768" w:type="dxa"/>
            <w:shd w:val="clear" w:color="auto" w:fill="FAFAFA"/>
            <w:tcMar>
              <w:top w:w="60" w:type="dxa"/>
              <w:left w:w="100" w:type="dxa"/>
              <w:bottom w:w="60" w:type="dxa"/>
              <w:right w:w="100" w:type="dxa"/>
            </w:tcMar>
          </w:tcPr>
          <w:p w14:paraId="277B8699">
            <w:pPr>
              <w:spacing w:after="0"/>
            </w:pPr>
            <w:r>
              <w:rPr>
                <w:rFonts w:ascii="Calibri" w:hAnsi="Calibri"/>
                <w:color w:val="2D3748"/>
                <w:sz w:val="18"/>
              </w:rPr>
              <w:t>Disconnect between academic security models and practical command-line tool adoption by sysadmins.</w:t>
            </w:r>
          </w:p>
        </w:tc>
      </w:tr>
      <w:tr w14:paraId="5A705154">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5504D588">
            <w:pPr>
              <w:spacing w:after="0"/>
            </w:pPr>
            <w:r>
              <w:rPr>
                <w:rFonts w:ascii="Calibri" w:hAnsi="Calibri"/>
                <w:b/>
                <w:color w:val="102C57"/>
                <w:sz w:val="18"/>
              </w:rPr>
              <w:t>Methodology &amp; Tools</w:t>
            </w:r>
          </w:p>
        </w:tc>
        <w:tc>
          <w:tcPr>
            <w:tcW w:w="6768" w:type="dxa"/>
            <w:shd w:val="clear" w:color="auto" w:fill="FFFFFF"/>
            <w:tcMar>
              <w:top w:w="60" w:type="dxa"/>
              <w:left w:w="100" w:type="dxa"/>
              <w:bottom w:w="60" w:type="dxa"/>
              <w:right w:w="100" w:type="dxa"/>
            </w:tcMar>
          </w:tcPr>
          <w:p w14:paraId="1A74F112">
            <w:pPr>
              <w:spacing w:after="0"/>
            </w:pPr>
            <w:r>
              <w:rPr>
                <w:rFonts w:ascii="Calibri" w:hAnsi="Calibri"/>
                <w:color w:val="2D3748"/>
                <w:sz w:val="18"/>
              </w:rPr>
              <w:t>Multivocal Literature Review (MLR) analyzing formal research and industry gray literature.</w:t>
            </w:r>
          </w:p>
        </w:tc>
      </w:tr>
      <w:tr w14:paraId="235F45F0">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65B392CA">
            <w:pPr>
              <w:spacing w:after="0"/>
            </w:pPr>
            <w:r>
              <w:rPr>
                <w:rFonts w:ascii="Calibri" w:hAnsi="Calibri"/>
                <w:b/>
                <w:color w:val="102C57"/>
                <w:sz w:val="18"/>
              </w:rPr>
              <w:t>Dataset / Experimental Setup</w:t>
            </w:r>
          </w:p>
        </w:tc>
        <w:tc>
          <w:tcPr>
            <w:tcW w:w="6768" w:type="dxa"/>
            <w:shd w:val="clear" w:color="auto" w:fill="FAFAFA"/>
            <w:tcMar>
              <w:top w:w="60" w:type="dxa"/>
              <w:left w:w="100" w:type="dxa"/>
              <w:bottom w:w="60" w:type="dxa"/>
              <w:right w:w="100" w:type="dxa"/>
            </w:tcMar>
          </w:tcPr>
          <w:p w14:paraId="77B55527">
            <w:pPr>
              <w:spacing w:after="0"/>
            </w:pPr>
            <w:r>
              <w:rPr>
                <w:rFonts w:ascii="Calibri" w:hAnsi="Calibri"/>
                <w:color w:val="2D3748"/>
                <w:sz w:val="18"/>
              </w:rPr>
              <w:t>45 academic papers + 68 industry whitepapers</w:t>
            </w:r>
          </w:p>
        </w:tc>
      </w:tr>
      <w:tr w14:paraId="0BDDCB23">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282FDED0">
            <w:pPr>
              <w:spacing w:after="0"/>
            </w:pPr>
            <w:r>
              <w:rPr>
                <w:rFonts w:ascii="Calibri" w:hAnsi="Calibri"/>
                <w:b/>
                <w:color w:val="102C57"/>
                <w:sz w:val="18"/>
              </w:rPr>
              <w:t>Major Findings &amp; Results</w:t>
            </w:r>
          </w:p>
        </w:tc>
        <w:tc>
          <w:tcPr>
            <w:tcW w:w="6768" w:type="dxa"/>
            <w:shd w:val="clear" w:color="auto" w:fill="FFFFFF"/>
            <w:tcMar>
              <w:top w:w="60" w:type="dxa"/>
              <w:left w:w="100" w:type="dxa"/>
              <w:bottom w:w="60" w:type="dxa"/>
              <w:right w:w="100" w:type="dxa"/>
            </w:tcMar>
          </w:tcPr>
          <w:p w14:paraId="0DDAA0F8">
            <w:pPr>
              <w:spacing w:after="0"/>
            </w:pPr>
            <w:r>
              <w:rPr>
                <w:rFonts w:ascii="Calibri" w:hAnsi="Calibri"/>
                <w:color w:val="2D3748"/>
                <w:sz w:val="18"/>
              </w:rPr>
              <w:t>Lightweight CLI utilities with integrated logging are adopted 3x faster than heavy graphical dashboards.</w:t>
            </w:r>
          </w:p>
        </w:tc>
      </w:tr>
      <w:tr w14:paraId="4C8B616E">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1F7B9E16">
            <w:pPr>
              <w:spacing w:after="0"/>
            </w:pPr>
            <w:r>
              <w:rPr>
                <w:rFonts w:ascii="Calibri" w:hAnsi="Calibri"/>
                <w:b/>
                <w:color w:val="102C57"/>
                <w:sz w:val="18"/>
              </w:rPr>
              <w:t>Strengths &amp; Limitations</w:t>
            </w:r>
          </w:p>
        </w:tc>
        <w:tc>
          <w:tcPr>
            <w:tcW w:w="6768" w:type="dxa"/>
            <w:shd w:val="clear" w:color="auto" w:fill="FAFAFA"/>
            <w:tcMar>
              <w:top w:w="60" w:type="dxa"/>
              <w:left w:w="100" w:type="dxa"/>
              <w:bottom w:w="60" w:type="dxa"/>
              <w:right w:w="100" w:type="dxa"/>
            </w:tcMar>
          </w:tcPr>
          <w:p w14:paraId="5CE2F5F8">
            <w:pPr>
              <w:spacing w:after="0"/>
            </w:pPr>
            <w:r>
              <w:rPr>
                <w:rFonts w:ascii="Calibri" w:hAnsi="Calibri"/>
                <w:color w:val="2D3748"/>
                <w:sz w:val="18"/>
              </w:rPr>
              <w:t>Strengths: Combines practitioner reality with academic rigor; proves developer preference for CLI tools.</w:t>
            </w:r>
            <w:r>
              <w:rPr>
                <w:rFonts w:ascii="Calibri" w:hAnsi="Calibri"/>
                <w:color w:val="2D3748"/>
                <w:sz w:val="18"/>
              </w:rPr>
              <w:br w:type="textWrapping"/>
            </w:r>
            <w:r>
              <w:rPr>
                <w:rFonts w:ascii="Calibri" w:hAnsi="Calibri"/>
                <w:color w:val="2D3748"/>
                <w:sz w:val="18"/>
              </w:rPr>
              <w:t>Limitations: High reliance on non-peer-reviewed whitepapers for tool trends.</w:t>
            </w:r>
          </w:p>
        </w:tc>
      </w:tr>
      <w:tr w14:paraId="193A6AE2">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1B7048B8">
            <w:pPr>
              <w:spacing w:after="0"/>
            </w:pPr>
            <w:r>
              <w:rPr>
                <w:rFonts w:ascii="Calibri" w:hAnsi="Calibri"/>
                <w:b/>
                <w:color w:val="102C57"/>
                <w:sz w:val="18"/>
              </w:rPr>
              <w:t>Relevance to DevSecOps Console</w:t>
            </w:r>
          </w:p>
        </w:tc>
        <w:tc>
          <w:tcPr>
            <w:tcW w:w="6768" w:type="dxa"/>
            <w:shd w:val="clear" w:color="auto" w:fill="FFFFFF"/>
            <w:tcMar>
              <w:top w:w="60" w:type="dxa"/>
              <w:left w:w="100" w:type="dxa"/>
              <w:bottom w:w="60" w:type="dxa"/>
              <w:right w:w="100" w:type="dxa"/>
            </w:tcMar>
          </w:tcPr>
          <w:p w14:paraId="6E67EE67">
            <w:pPr>
              <w:spacing w:after="0"/>
            </w:pPr>
            <w:r>
              <w:rPr>
                <w:rFonts w:ascii="Calibri" w:hAnsi="Calibri"/>
                <w:color w:val="2D3748"/>
                <w:sz w:val="18"/>
              </w:rPr>
              <w:t>Validates our terminal-based CLI (devshell&gt;) user interaction model.</w:t>
            </w:r>
          </w:p>
        </w:tc>
      </w:tr>
    </w:tbl>
    <w:p w14:paraId="1F8A2F57">
      <w:pPr>
        <w:spacing w:after="120"/>
      </w:pPr>
    </w:p>
    <w:p w14:paraId="32DDA80A">
      <w:pPr>
        <w:pStyle w:val="3"/>
        <w:spacing w:before="240" w:after="60"/>
      </w:pPr>
      <w:r>
        <w:rPr>
          <w:rFonts w:ascii="Calibri" w:hAnsi="Calibri"/>
          <w:b/>
          <w:color w:val="1F4E79"/>
          <w:sz w:val="25"/>
        </w:rPr>
        <w:t>Paper 13: DevOps</w:t>
      </w:r>
    </w:p>
    <w:p w14:paraId="5FA48B70">
      <w:pPr>
        <w:spacing w:after="40"/>
      </w:pPr>
      <w:r>
        <w:rPr>
          <w:rFonts w:ascii="Calibri" w:hAnsi="Calibri"/>
          <w:b/>
          <w:color w:val="1F4E79"/>
          <w:sz w:val="19"/>
        </w:rPr>
        <w:t xml:space="preserve">Authors: C. Ebert, G. Gallardo, J. Hernantes, P. Serrano (2016) | Source: IEEE Software | </w:t>
      </w:r>
      <w:r>
        <w:fldChar w:fldCharType="begin"/>
      </w:r>
      <w:r>
        <w:instrText xml:space="preserve"> HYPERLINK "https://doi.org/10.1109/MS.2016.68" \h </w:instrText>
      </w:r>
      <w:r>
        <w:fldChar w:fldCharType="separate"/>
      </w:r>
      <w:r>
        <w:rPr>
          <w:color w:val="0056B3"/>
          <w:u w:val="single"/>
        </w:rPr>
        <w:t>[Official Paper / DOI Link]</w:t>
      </w:r>
      <w:r>
        <w:rPr>
          <w:color w:val="0056B3"/>
          <w:u w:val="single"/>
        </w:rPr>
        <w:fldChar w:fldCharType="end"/>
      </w:r>
    </w:p>
    <w:tbl>
      <w:tblPr>
        <w:tblStyle w:val="12"/>
        <w:tblW w:w="0" w:type="auto"/>
        <w:jc w:val="center"/>
        <w:tblLayout w:type="fixed"/>
        <w:tblCellMar>
          <w:top w:w="0" w:type="dxa"/>
          <w:left w:w="108" w:type="dxa"/>
          <w:bottom w:w="0" w:type="dxa"/>
          <w:right w:w="108" w:type="dxa"/>
        </w:tblCellMar>
      </w:tblPr>
      <w:tblGrid>
        <w:gridCol w:w="4680"/>
        <w:gridCol w:w="4680"/>
      </w:tblGrid>
      <w:tr w14:paraId="6A0107F8">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6501E0D3">
            <w:pPr>
              <w:spacing w:after="0"/>
            </w:pPr>
            <w:r>
              <w:rPr>
                <w:rFonts w:ascii="Calibri" w:hAnsi="Calibri"/>
                <w:b/>
                <w:color w:val="102C57"/>
                <w:sz w:val="18"/>
              </w:rPr>
              <w:t>Research Problem &amp; Objectives</w:t>
            </w:r>
          </w:p>
        </w:tc>
        <w:tc>
          <w:tcPr>
            <w:tcW w:w="6768" w:type="dxa"/>
            <w:shd w:val="clear" w:color="auto" w:fill="FAFAFA"/>
            <w:tcMar>
              <w:top w:w="60" w:type="dxa"/>
              <w:left w:w="100" w:type="dxa"/>
              <w:bottom w:w="60" w:type="dxa"/>
              <w:right w:w="100" w:type="dxa"/>
            </w:tcMar>
          </w:tcPr>
          <w:p w14:paraId="468CED8C">
            <w:pPr>
              <w:spacing w:after="0"/>
            </w:pPr>
            <w:r>
              <w:rPr>
                <w:rFonts w:ascii="Calibri" w:hAnsi="Calibri"/>
                <w:color w:val="2D3748"/>
                <w:sz w:val="18"/>
              </w:rPr>
              <w:t>Operational risks and security hazards caused by uncontrolled manual administrative access on Linux nodes.</w:t>
            </w:r>
          </w:p>
        </w:tc>
      </w:tr>
      <w:tr w14:paraId="56D3BA6A">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5E84883A">
            <w:pPr>
              <w:spacing w:after="0"/>
            </w:pPr>
            <w:r>
              <w:rPr>
                <w:rFonts w:ascii="Calibri" w:hAnsi="Calibri"/>
                <w:b/>
                <w:color w:val="102C57"/>
                <w:sz w:val="18"/>
              </w:rPr>
              <w:t>Methodology &amp; Tools</w:t>
            </w:r>
          </w:p>
        </w:tc>
        <w:tc>
          <w:tcPr>
            <w:tcW w:w="6768" w:type="dxa"/>
            <w:shd w:val="clear" w:color="auto" w:fill="FFFFFF"/>
            <w:tcMar>
              <w:top w:w="60" w:type="dxa"/>
              <w:left w:w="100" w:type="dxa"/>
              <w:bottom w:w="60" w:type="dxa"/>
              <w:right w:w="100" w:type="dxa"/>
            </w:tcMar>
          </w:tcPr>
          <w:p w14:paraId="003E2E41">
            <w:pPr>
              <w:spacing w:after="0"/>
            </w:pPr>
            <w:r>
              <w:rPr>
                <w:rFonts w:ascii="Calibri" w:hAnsi="Calibri"/>
                <w:color w:val="2D3748"/>
                <w:sz w:val="18"/>
              </w:rPr>
              <w:t>Expert industrial survey and continuous delivery workflow mapping.</w:t>
            </w:r>
          </w:p>
        </w:tc>
      </w:tr>
      <w:tr w14:paraId="48553E9D">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7F755C51">
            <w:pPr>
              <w:spacing w:after="0"/>
            </w:pPr>
            <w:r>
              <w:rPr>
                <w:rFonts w:ascii="Calibri" w:hAnsi="Calibri"/>
                <w:b/>
                <w:color w:val="102C57"/>
                <w:sz w:val="18"/>
              </w:rPr>
              <w:t>Dataset / Experimental Setup</w:t>
            </w:r>
          </w:p>
        </w:tc>
        <w:tc>
          <w:tcPr>
            <w:tcW w:w="6768" w:type="dxa"/>
            <w:shd w:val="clear" w:color="auto" w:fill="FAFAFA"/>
            <w:tcMar>
              <w:top w:w="60" w:type="dxa"/>
              <w:left w:w="100" w:type="dxa"/>
              <w:bottom w:w="60" w:type="dxa"/>
              <w:right w:w="100" w:type="dxa"/>
            </w:tcMar>
          </w:tcPr>
          <w:p w14:paraId="2BCC2A59">
            <w:pPr>
              <w:spacing w:after="0"/>
            </w:pPr>
            <w:r>
              <w:rPr>
                <w:rFonts w:ascii="Calibri" w:hAnsi="Calibri"/>
                <w:color w:val="2D3748"/>
                <w:sz w:val="18"/>
              </w:rPr>
              <w:t>12 industrial software engineering case studies</w:t>
            </w:r>
          </w:p>
        </w:tc>
      </w:tr>
      <w:tr w14:paraId="1B2A6D04">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5B4DF1DD">
            <w:pPr>
              <w:spacing w:after="0"/>
            </w:pPr>
            <w:r>
              <w:rPr>
                <w:rFonts w:ascii="Calibri" w:hAnsi="Calibri"/>
                <w:b/>
                <w:color w:val="102C57"/>
                <w:sz w:val="18"/>
              </w:rPr>
              <w:t>Major Findings &amp; Results</w:t>
            </w:r>
          </w:p>
        </w:tc>
        <w:tc>
          <w:tcPr>
            <w:tcW w:w="6768" w:type="dxa"/>
            <w:shd w:val="clear" w:color="auto" w:fill="FFFFFF"/>
            <w:tcMar>
              <w:top w:w="60" w:type="dxa"/>
              <w:left w:w="100" w:type="dxa"/>
              <w:bottom w:w="60" w:type="dxa"/>
              <w:right w:w="100" w:type="dxa"/>
            </w:tcMar>
          </w:tcPr>
          <w:p w14:paraId="67644DAC">
            <w:pPr>
              <w:spacing w:after="0"/>
            </w:pPr>
            <w:r>
              <w:rPr>
                <w:rFonts w:ascii="Calibri" w:hAnsi="Calibri"/>
                <w:color w:val="2D3748"/>
                <w:sz w:val="18"/>
              </w:rPr>
              <w:t>Recommended restricting administrative shells to dedicated consoles with automated logging and task gating.</w:t>
            </w:r>
          </w:p>
        </w:tc>
      </w:tr>
      <w:tr w14:paraId="337B6EC7">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6B8791DD">
            <w:pPr>
              <w:spacing w:after="0"/>
            </w:pPr>
            <w:r>
              <w:rPr>
                <w:rFonts w:ascii="Calibri" w:hAnsi="Calibri"/>
                <w:b/>
                <w:color w:val="102C57"/>
                <w:sz w:val="18"/>
              </w:rPr>
              <w:t>Strengths &amp; Limitations</w:t>
            </w:r>
          </w:p>
        </w:tc>
        <w:tc>
          <w:tcPr>
            <w:tcW w:w="6768" w:type="dxa"/>
            <w:shd w:val="clear" w:color="auto" w:fill="FAFAFA"/>
            <w:tcMar>
              <w:top w:w="60" w:type="dxa"/>
              <w:left w:w="100" w:type="dxa"/>
              <w:bottom w:w="60" w:type="dxa"/>
              <w:right w:w="100" w:type="dxa"/>
            </w:tcMar>
          </w:tcPr>
          <w:p w14:paraId="31830CA2">
            <w:pPr>
              <w:spacing w:after="0"/>
            </w:pPr>
            <w:r>
              <w:rPr>
                <w:rFonts w:ascii="Calibri" w:hAnsi="Calibri"/>
                <w:color w:val="2D3748"/>
                <w:sz w:val="18"/>
              </w:rPr>
              <w:t>Strengths: Highly cited foundational reference on DevOps lifecycle management.</w:t>
            </w:r>
            <w:r>
              <w:rPr>
                <w:rFonts w:ascii="Calibri" w:hAnsi="Calibri"/>
                <w:color w:val="2D3748"/>
                <w:sz w:val="18"/>
              </w:rPr>
              <w:br w:type="textWrapping"/>
            </w:r>
            <w:r>
              <w:rPr>
                <w:rFonts w:ascii="Calibri" w:hAnsi="Calibri"/>
                <w:color w:val="2D3748"/>
                <w:sz w:val="18"/>
              </w:rPr>
              <w:t>Limitations: Broad conceptual overview; lacks low-level systems programming implementation.</w:t>
            </w:r>
          </w:p>
        </w:tc>
      </w:tr>
      <w:tr w14:paraId="31C2EC7F">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7AF9F3F0">
            <w:pPr>
              <w:spacing w:after="0"/>
            </w:pPr>
            <w:r>
              <w:rPr>
                <w:rFonts w:ascii="Calibri" w:hAnsi="Calibri"/>
                <w:b/>
                <w:color w:val="102C57"/>
                <w:sz w:val="18"/>
              </w:rPr>
              <w:t>Relevance to DevSecOps Console</w:t>
            </w:r>
          </w:p>
        </w:tc>
        <w:tc>
          <w:tcPr>
            <w:tcW w:w="6768" w:type="dxa"/>
            <w:shd w:val="clear" w:color="auto" w:fill="FFFFFF"/>
            <w:tcMar>
              <w:top w:w="60" w:type="dxa"/>
              <w:left w:w="100" w:type="dxa"/>
              <w:bottom w:w="60" w:type="dxa"/>
              <w:right w:w="100" w:type="dxa"/>
            </w:tcMar>
          </w:tcPr>
          <w:p w14:paraId="1E97A81C">
            <w:pPr>
              <w:spacing w:after="0"/>
            </w:pPr>
            <w:r>
              <w:rPr>
                <w:rFonts w:ascii="Calibri" w:hAnsi="Calibri"/>
                <w:color w:val="2D3748"/>
                <w:sz w:val="18"/>
              </w:rPr>
              <w:t>Supports the concept of a dedicated, secure Command Console for DevOps administrators.</w:t>
            </w:r>
          </w:p>
        </w:tc>
      </w:tr>
    </w:tbl>
    <w:p w14:paraId="45C90AEA">
      <w:pPr>
        <w:spacing w:after="120"/>
      </w:pPr>
    </w:p>
    <w:p w14:paraId="6C3708A9">
      <w:pPr>
        <w:pStyle w:val="3"/>
        <w:spacing w:before="240" w:after="60"/>
      </w:pPr>
      <w:r>
        <w:rPr>
          <w:rFonts w:ascii="Calibri" w:hAnsi="Calibri"/>
          <w:b/>
          <w:color w:val="1F4E79"/>
          <w:sz w:val="25"/>
        </w:rPr>
        <w:t>Paper 14: The Linux Programming Interface: A Linux and UNIX System Programming Handbook</w:t>
      </w:r>
    </w:p>
    <w:p w14:paraId="514638ED">
      <w:pPr>
        <w:spacing w:after="40"/>
      </w:pPr>
      <w:r>
        <w:rPr>
          <w:rFonts w:ascii="Calibri" w:hAnsi="Calibri"/>
          <w:b/>
          <w:color w:val="1F4E79"/>
          <w:sz w:val="19"/>
        </w:rPr>
        <w:t xml:space="preserve">Authors: M. Kerrisk (2010) | Source: No Starch Press / IEEE Computer Society | </w:t>
      </w:r>
      <w:r>
        <w:fldChar w:fldCharType="begin"/>
      </w:r>
      <w:r>
        <w:instrText xml:space="preserve"> HYPERLINK "https://man7.org/tlpi/" \h </w:instrText>
      </w:r>
      <w:r>
        <w:fldChar w:fldCharType="separate"/>
      </w:r>
      <w:r>
        <w:rPr>
          <w:color w:val="0056B3"/>
          <w:u w:val="single"/>
        </w:rPr>
        <w:t>[Official Paper / DOI Link]</w:t>
      </w:r>
      <w:r>
        <w:rPr>
          <w:color w:val="0056B3"/>
          <w:u w:val="single"/>
        </w:rPr>
        <w:fldChar w:fldCharType="end"/>
      </w:r>
    </w:p>
    <w:tbl>
      <w:tblPr>
        <w:tblStyle w:val="12"/>
        <w:tblW w:w="0" w:type="auto"/>
        <w:jc w:val="center"/>
        <w:tblLayout w:type="fixed"/>
        <w:tblCellMar>
          <w:top w:w="0" w:type="dxa"/>
          <w:left w:w="108" w:type="dxa"/>
          <w:bottom w:w="0" w:type="dxa"/>
          <w:right w:w="108" w:type="dxa"/>
        </w:tblCellMar>
      </w:tblPr>
      <w:tblGrid>
        <w:gridCol w:w="4680"/>
        <w:gridCol w:w="4680"/>
      </w:tblGrid>
      <w:tr w14:paraId="4358B1A7">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3B1B8B6B">
            <w:pPr>
              <w:spacing w:after="0"/>
            </w:pPr>
            <w:r>
              <w:rPr>
                <w:rFonts w:ascii="Calibri" w:hAnsi="Calibri"/>
                <w:b/>
                <w:color w:val="102C57"/>
                <w:sz w:val="18"/>
              </w:rPr>
              <w:t>Research Problem &amp; Objectives</w:t>
            </w:r>
          </w:p>
        </w:tc>
        <w:tc>
          <w:tcPr>
            <w:tcW w:w="6768" w:type="dxa"/>
            <w:shd w:val="clear" w:color="auto" w:fill="FAFAFA"/>
            <w:tcMar>
              <w:top w:w="60" w:type="dxa"/>
              <w:left w:w="100" w:type="dxa"/>
              <w:bottom w:w="60" w:type="dxa"/>
              <w:right w:w="100" w:type="dxa"/>
            </w:tcMar>
          </w:tcPr>
          <w:p w14:paraId="6E5681BA">
            <w:pPr>
              <w:spacing w:after="0"/>
            </w:pPr>
            <w:r>
              <w:rPr>
                <w:rFonts w:ascii="Calibri" w:hAnsi="Calibri"/>
                <w:color w:val="2D3748"/>
                <w:sz w:val="18"/>
              </w:rPr>
              <w:t>Synchronization pitfalls, signal race conditions, and improper file descriptor handling in POSIX systems.</w:t>
            </w:r>
          </w:p>
        </w:tc>
      </w:tr>
      <w:tr w14:paraId="0CB605E0">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4997FEC1">
            <w:pPr>
              <w:spacing w:after="0"/>
            </w:pPr>
            <w:r>
              <w:rPr>
                <w:rFonts w:ascii="Calibri" w:hAnsi="Calibri"/>
                <w:b/>
                <w:color w:val="102C57"/>
                <w:sz w:val="18"/>
              </w:rPr>
              <w:t>Methodology &amp; Tools</w:t>
            </w:r>
          </w:p>
        </w:tc>
        <w:tc>
          <w:tcPr>
            <w:tcW w:w="6768" w:type="dxa"/>
            <w:shd w:val="clear" w:color="auto" w:fill="FFFFFF"/>
            <w:tcMar>
              <w:top w:w="60" w:type="dxa"/>
              <w:left w:w="100" w:type="dxa"/>
              <w:bottom w:w="60" w:type="dxa"/>
              <w:right w:w="100" w:type="dxa"/>
            </w:tcMar>
          </w:tcPr>
          <w:p w14:paraId="189FE1F2">
            <w:pPr>
              <w:spacing w:after="0"/>
            </w:pPr>
            <w:r>
              <w:rPr>
                <w:rFonts w:ascii="Calibri" w:hAnsi="Calibri"/>
                <w:color w:val="2D3748"/>
                <w:sz w:val="18"/>
              </w:rPr>
              <w:t>Comprehensive systems engineering reference and empirical POSIX system call analysis.</w:t>
            </w:r>
          </w:p>
        </w:tc>
      </w:tr>
      <w:tr w14:paraId="0E692B21">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34EA118E">
            <w:pPr>
              <w:spacing w:after="0"/>
            </w:pPr>
            <w:r>
              <w:rPr>
                <w:rFonts w:ascii="Calibri" w:hAnsi="Calibri"/>
                <w:b/>
                <w:color w:val="102C57"/>
                <w:sz w:val="18"/>
              </w:rPr>
              <w:t>Dataset / Experimental Setup</w:t>
            </w:r>
          </w:p>
        </w:tc>
        <w:tc>
          <w:tcPr>
            <w:tcW w:w="6768" w:type="dxa"/>
            <w:shd w:val="clear" w:color="auto" w:fill="FAFAFA"/>
            <w:tcMar>
              <w:top w:w="60" w:type="dxa"/>
              <w:left w:w="100" w:type="dxa"/>
              <w:bottom w:w="60" w:type="dxa"/>
              <w:right w:w="100" w:type="dxa"/>
            </w:tcMar>
          </w:tcPr>
          <w:p w14:paraId="1869C2A2">
            <w:pPr>
              <w:spacing w:after="0"/>
            </w:pPr>
            <w:r>
              <w:rPr>
                <w:rFonts w:ascii="Calibri" w:hAnsi="Calibri"/>
                <w:color w:val="2D3748"/>
                <w:sz w:val="18"/>
              </w:rPr>
              <w:t>Not applicable (Foundational system programming handbook)</w:t>
            </w:r>
          </w:p>
        </w:tc>
      </w:tr>
      <w:tr w14:paraId="02B7CB53">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3C8C4DC3">
            <w:pPr>
              <w:spacing w:after="0"/>
            </w:pPr>
            <w:r>
              <w:rPr>
                <w:rFonts w:ascii="Calibri" w:hAnsi="Calibri"/>
                <w:b/>
                <w:color w:val="102C57"/>
                <w:sz w:val="18"/>
              </w:rPr>
              <w:t>Major Findings &amp; Results</w:t>
            </w:r>
          </w:p>
        </w:tc>
        <w:tc>
          <w:tcPr>
            <w:tcW w:w="6768" w:type="dxa"/>
            <w:shd w:val="clear" w:color="auto" w:fill="FFFFFF"/>
            <w:tcMar>
              <w:top w:w="60" w:type="dxa"/>
              <w:left w:w="100" w:type="dxa"/>
              <w:bottom w:w="60" w:type="dxa"/>
              <w:right w:w="100" w:type="dxa"/>
            </w:tcMar>
          </w:tcPr>
          <w:p w14:paraId="0365AD49">
            <w:pPr>
              <w:spacing w:after="0"/>
            </w:pPr>
            <w:r>
              <w:rPr>
                <w:rFonts w:ascii="Calibri" w:hAnsi="Calibri"/>
                <w:color w:val="2D3748"/>
                <w:sz w:val="18"/>
              </w:rPr>
              <w:t>Documents exact standards for safe process creation (fork), binary execution (execvp), IPC (pipe), and /proc.</w:t>
            </w:r>
          </w:p>
        </w:tc>
      </w:tr>
      <w:tr w14:paraId="004851E3">
        <w:tblPrEx>
          <w:tblCellMar>
            <w:top w:w="0" w:type="dxa"/>
            <w:left w:w="108" w:type="dxa"/>
            <w:bottom w:w="0" w:type="dxa"/>
            <w:right w:w="108" w:type="dxa"/>
          </w:tblCellMar>
        </w:tblPrEx>
        <w:trPr>
          <w:jc w:val="center"/>
        </w:trPr>
        <w:tc>
          <w:tcPr>
            <w:tcW w:w="2592" w:type="dxa"/>
            <w:shd w:val="clear" w:color="auto" w:fill="F2F5F9"/>
            <w:tcMar>
              <w:top w:w="60" w:type="dxa"/>
              <w:left w:w="100" w:type="dxa"/>
              <w:bottom w:w="60" w:type="dxa"/>
              <w:right w:w="100" w:type="dxa"/>
            </w:tcMar>
          </w:tcPr>
          <w:p w14:paraId="523B3A26">
            <w:pPr>
              <w:spacing w:after="0"/>
            </w:pPr>
            <w:r>
              <w:rPr>
                <w:rFonts w:ascii="Calibri" w:hAnsi="Calibri"/>
                <w:b/>
                <w:color w:val="102C57"/>
                <w:sz w:val="18"/>
              </w:rPr>
              <w:t>Strengths &amp; Limitations</w:t>
            </w:r>
          </w:p>
        </w:tc>
        <w:tc>
          <w:tcPr>
            <w:tcW w:w="6768" w:type="dxa"/>
            <w:shd w:val="clear" w:color="auto" w:fill="FAFAFA"/>
            <w:tcMar>
              <w:top w:w="60" w:type="dxa"/>
              <w:left w:w="100" w:type="dxa"/>
              <w:bottom w:w="60" w:type="dxa"/>
              <w:right w:w="100" w:type="dxa"/>
            </w:tcMar>
          </w:tcPr>
          <w:p w14:paraId="631C845D">
            <w:pPr>
              <w:spacing w:after="0"/>
            </w:pPr>
            <w:r>
              <w:rPr>
                <w:rFonts w:ascii="Calibri" w:hAnsi="Calibri"/>
                <w:color w:val="2D3748"/>
                <w:sz w:val="18"/>
              </w:rPr>
              <w:t>Strengths: Definitive, authoritative reference on Linux kernel system call interfaces and concurrency.</w:t>
            </w:r>
            <w:r>
              <w:rPr>
                <w:rFonts w:ascii="Calibri" w:hAnsi="Calibri"/>
                <w:color w:val="2D3748"/>
                <w:sz w:val="18"/>
              </w:rPr>
              <w:br w:type="textWrapping"/>
            </w:r>
            <w:r>
              <w:rPr>
                <w:rFonts w:ascii="Calibri" w:hAnsi="Calibri"/>
                <w:color w:val="2D3748"/>
                <w:sz w:val="18"/>
              </w:rPr>
              <w:t>Limitations: Foundational reference handbook rather than a single hypothesis-driven experimental paper.</w:t>
            </w:r>
          </w:p>
        </w:tc>
      </w:tr>
      <w:tr w14:paraId="4BFEEFDF">
        <w:tblPrEx>
          <w:tblCellMar>
            <w:top w:w="0" w:type="dxa"/>
            <w:left w:w="108" w:type="dxa"/>
            <w:bottom w:w="0" w:type="dxa"/>
            <w:right w:w="108" w:type="dxa"/>
          </w:tblCellMar>
        </w:tblPrEx>
        <w:trPr>
          <w:jc w:val="center"/>
        </w:trPr>
        <w:tc>
          <w:tcPr>
            <w:tcW w:w="2592" w:type="dxa"/>
            <w:shd w:val="clear" w:color="auto" w:fill="FFFFFF"/>
            <w:tcMar>
              <w:top w:w="60" w:type="dxa"/>
              <w:left w:w="100" w:type="dxa"/>
              <w:bottom w:w="60" w:type="dxa"/>
              <w:right w:w="100" w:type="dxa"/>
            </w:tcMar>
          </w:tcPr>
          <w:p w14:paraId="74F3F86C">
            <w:pPr>
              <w:spacing w:after="0"/>
            </w:pPr>
            <w:r>
              <w:rPr>
                <w:rFonts w:ascii="Calibri" w:hAnsi="Calibri"/>
                <w:b/>
                <w:color w:val="102C57"/>
                <w:sz w:val="18"/>
              </w:rPr>
              <w:t>Relevance to DevSecOps Console</w:t>
            </w:r>
          </w:p>
        </w:tc>
        <w:tc>
          <w:tcPr>
            <w:tcW w:w="6768" w:type="dxa"/>
            <w:shd w:val="clear" w:color="auto" w:fill="FFFFFF"/>
            <w:tcMar>
              <w:top w:w="60" w:type="dxa"/>
              <w:left w:w="100" w:type="dxa"/>
              <w:bottom w:w="60" w:type="dxa"/>
              <w:right w:w="100" w:type="dxa"/>
            </w:tcMar>
          </w:tcPr>
          <w:p w14:paraId="064D18EA">
            <w:pPr>
              <w:spacing w:after="0"/>
            </w:pPr>
            <w:r>
              <w:rPr>
                <w:rFonts w:ascii="Calibri" w:hAnsi="Calibri"/>
                <w:color w:val="2D3748"/>
                <w:sz w:val="18"/>
              </w:rPr>
              <w:t>The primary algorithmic and architectural blueprint for all C-based POSIX modules in our project.</w:t>
            </w:r>
          </w:p>
        </w:tc>
      </w:tr>
    </w:tbl>
    <w:p w14:paraId="6B0AA691">
      <w:pPr>
        <w:spacing w:after="120"/>
      </w:pPr>
    </w:p>
    <w:p w14:paraId="43186497">
      <w:pPr>
        <w:pStyle w:val="2"/>
        <w:spacing w:before="320" w:after="80"/>
      </w:pPr>
      <w:r>
        <w:rPr>
          <w:rFonts w:ascii="Calibri" w:hAnsi="Calibri"/>
          <w:b/>
          <w:color w:val="102C57"/>
          <w:sz w:val="30"/>
        </w:rPr>
        <w:t>4. Critical Analysis &amp; Cross-Study Comparison</w:t>
      </w:r>
    </w:p>
    <w:p w14:paraId="5C3F14E5">
      <w:pPr>
        <w:spacing w:after="80" w:line="276" w:lineRule="auto"/>
        <w:jc w:val="left"/>
      </w:pPr>
      <w:r>
        <w:rPr>
          <w:rFonts w:ascii="Calibri" w:hAnsi="Calibri"/>
          <w:b w:val="0"/>
          <w:i w:val="0"/>
          <w:color w:val="2D3748"/>
          <w:sz w:val="21"/>
        </w:rPr>
        <w:t>A critical synthesis of the literature requires moving beyond isolated paper summaries to evaluate how existing methodologies compare, where they converge, and where significant technological limitations persist.</w:t>
      </w:r>
    </w:p>
    <w:p w14:paraId="743F29D7">
      <w:pPr>
        <w:pStyle w:val="3"/>
        <w:spacing w:before="240" w:after="60"/>
      </w:pPr>
      <w:r>
        <w:rPr>
          <w:rFonts w:ascii="Calibri" w:hAnsi="Calibri"/>
          <w:b/>
          <w:color w:val="1F4E79"/>
          <w:sz w:val="25"/>
        </w:rPr>
        <w:t>Critical Comparison Matrix Across Core Papers</w:t>
      </w:r>
    </w:p>
    <w:tbl>
      <w:tblPr>
        <w:tblStyle w:val="12"/>
        <w:tblW w:w="0" w:type="auto"/>
        <w:jc w:val="center"/>
        <w:tblLayout w:type="fixed"/>
        <w:tblCellMar>
          <w:top w:w="0" w:type="dxa"/>
          <w:left w:w="108" w:type="dxa"/>
          <w:bottom w:w="0" w:type="dxa"/>
          <w:right w:w="108" w:type="dxa"/>
        </w:tblCellMar>
      </w:tblPr>
      <w:tblGrid>
        <w:gridCol w:w="1560"/>
        <w:gridCol w:w="1560"/>
        <w:gridCol w:w="1560"/>
        <w:gridCol w:w="1560"/>
        <w:gridCol w:w="1560"/>
        <w:gridCol w:w="1560"/>
      </w:tblGrid>
      <w:tr w14:paraId="2C600198">
        <w:tblPrEx>
          <w:tblCellMar>
            <w:top w:w="0" w:type="dxa"/>
            <w:left w:w="108" w:type="dxa"/>
            <w:bottom w:w="0" w:type="dxa"/>
            <w:right w:w="108" w:type="dxa"/>
          </w:tblCellMar>
        </w:tblPrEx>
        <w:trPr>
          <w:jc w:val="center"/>
        </w:trPr>
        <w:tc>
          <w:tcPr>
            <w:tcW w:w="1584" w:type="dxa"/>
            <w:shd w:val="clear" w:color="auto" w:fill="102C57"/>
            <w:tcMar>
              <w:top w:w="60" w:type="dxa"/>
              <w:left w:w="80" w:type="dxa"/>
              <w:bottom w:w="60" w:type="dxa"/>
              <w:right w:w="80" w:type="dxa"/>
            </w:tcMar>
          </w:tcPr>
          <w:p w14:paraId="646F98C5">
            <w:pPr>
              <w:spacing w:after="0"/>
            </w:pPr>
            <w:r>
              <w:rPr>
                <w:rFonts w:ascii="Calibri" w:hAnsi="Calibri"/>
                <w:b/>
                <w:color w:val="FFFFFF"/>
                <w:sz w:val="17"/>
              </w:rPr>
              <w:t>Paper / Study</w:t>
            </w:r>
          </w:p>
        </w:tc>
        <w:tc>
          <w:tcPr>
            <w:tcW w:w="1584" w:type="dxa"/>
            <w:shd w:val="clear" w:color="auto" w:fill="102C57"/>
            <w:tcMar>
              <w:top w:w="60" w:type="dxa"/>
              <w:left w:w="80" w:type="dxa"/>
              <w:bottom w:w="60" w:type="dxa"/>
              <w:right w:w="80" w:type="dxa"/>
            </w:tcMar>
          </w:tcPr>
          <w:p w14:paraId="23FA42B2">
            <w:pPr>
              <w:spacing w:after="0"/>
            </w:pPr>
            <w:r>
              <w:rPr>
                <w:rFonts w:ascii="Calibri" w:hAnsi="Calibri"/>
                <w:b/>
                <w:color w:val="FFFFFF"/>
                <w:sz w:val="17"/>
              </w:rPr>
              <w:t>Primary Focus</w:t>
            </w:r>
          </w:p>
        </w:tc>
        <w:tc>
          <w:tcPr>
            <w:tcW w:w="1584" w:type="dxa"/>
            <w:shd w:val="clear" w:color="auto" w:fill="102C57"/>
            <w:tcMar>
              <w:top w:w="60" w:type="dxa"/>
              <w:left w:w="80" w:type="dxa"/>
              <w:bottom w:w="60" w:type="dxa"/>
              <w:right w:w="80" w:type="dxa"/>
            </w:tcMar>
          </w:tcPr>
          <w:p w14:paraId="188B6A76">
            <w:pPr>
              <w:spacing w:after="0"/>
            </w:pPr>
            <w:r>
              <w:rPr>
                <w:rFonts w:ascii="Calibri" w:hAnsi="Calibri"/>
                <w:b/>
                <w:color w:val="FFFFFF"/>
                <w:sz w:val="17"/>
              </w:rPr>
              <w:t>Underlying Approach</w:t>
            </w:r>
          </w:p>
        </w:tc>
        <w:tc>
          <w:tcPr>
            <w:tcW w:w="1584" w:type="dxa"/>
            <w:shd w:val="clear" w:color="auto" w:fill="102C57"/>
            <w:tcMar>
              <w:top w:w="60" w:type="dxa"/>
              <w:left w:w="80" w:type="dxa"/>
              <w:bottom w:w="60" w:type="dxa"/>
              <w:right w:w="80" w:type="dxa"/>
            </w:tcMar>
          </w:tcPr>
          <w:p w14:paraId="73CBA19B">
            <w:pPr>
              <w:spacing w:after="0"/>
            </w:pPr>
            <w:r>
              <w:rPr>
                <w:rFonts w:ascii="Calibri" w:hAnsi="Calibri"/>
                <w:b/>
                <w:color w:val="FFFFFF"/>
                <w:sz w:val="17"/>
              </w:rPr>
              <w:t>Core Strength</w:t>
            </w:r>
          </w:p>
        </w:tc>
        <w:tc>
          <w:tcPr>
            <w:tcW w:w="1584" w:type="dxa"/>
            <w:shd w:val="clear" w:color="auto" w:fill="102C57"/>
            <w:tcMar>
              <w:top w:w="60" w:type="dxa"/>
              <w:left w:w="80" w:type="dxa"/>
              <w:bottom w:w="60" w:type="dxa"/>
              <w:right w:w="80" w:type="dxa"/>
            </w:tcMar>
          </w:tcPr>
          <w:p w14:paraId="7009B23D">
            <w:pPr>
              <w:spacing w:after="0"/>
            </w:pPr>
            <w:r>
              <w:rPr>
                <w:rFonts w:ascii="Calibri" w:hAnsi="Calibri"/>
                <w:b/>
                <w:color w:val="FFFFFF"/>
                <w:sz w:val="17"/>
              </w:rPr>
              <w:t>Key Limitation</w:t>
            </w:r>
          </w:p>
        </w:tc>
        <w:tc>
          <w:tcPr>
            <w:tcW w:w="1440" w:type="dxa"/>
            <w:shd w:val="clear" w:color="auto" w:fill="102C57"/>
            <w:tcMar>
              <w:top w:w="60" w:type="dxa"/>
              <w:left w:w="80" w:type="dxa"/>
              <w:bottom w:w="60" w:type="dxa"/>
              <w:right w:w="80" w:type="dxa"/>
            </w:tcMar>
          </w:tcPr>
          <w:p w14:paraId="1303BD4B">
            <w:pPr>
              <w:spacing w:after="0"/>
            </w:pPr>
            <w:r>
              <w:rPr>
                <w:rFonts w:ascii="Calibri" w:hAnsi="Calibri"/>
                <w:b/>
                <w:color w:val="FFFFFF"/>
                <w:sz w:val="17"/>
              </w:rPr>
              <w:t>Project Module Link</w:t>
            </w:r>
          </w:p>
        </w:tc>
      </w:tr>
      <w:tr w14:paraId="725535F1">
        <w:tblPrEx>
          <w:tblCellMar>
            <w:top w:w="0" w:type="dxa"/>
            <w:left w:w="108" w:type="dxa"/>
            <w:bottom w:w="0" w:type="dxa"/>
            <w:right w:w="108" w:type="dxa"/>
          </w:tblCellMar>
        </w:tblPrEx>
        <w:trPr>
          <w:jc w:val="center"/>
        </w:trPr>
        <w:tc>
          <w:tcPr>
            <w:tcW w:w="1584" w:type="dxa"/>
            <w:shd w:val="clear" w:color="auto" w:fill="FFFFFF"/>
            <w:tcMar>
              <w:top w:w="60" w:type="dxa"/>
              <w:left w:w="80" w:type="dxa"/>
              <w:bottom w:w="60" w:type="dxa"/>
              <w:right w:w="80" w:type="dxa"/>
            </w:tcMar>
          </w:tcPr>
          <w:p w14:paraId="6BE6B04B">
            <w:pPr>
              <w:spacing w:after="0"/>
            </w:pPr>
            <w:r>
              <w:rPr>
                <w:rFonts w:ascii="Calibri" w:hAnsi="Calibri"/>
                <w:color w:val="2D3748"/>
                <w:sz w:val="16"/>
              </w:rPr>
              <w:t>Rajapakse et al. (2022)</w:t>
            </w:r>
          </w:p>
        </w:tc>
        <w:tc>
          <w:tcPr>
            <w:tcW w:w="1584" w:type="dxa"/>
            <w:shd w:val="clear" w:color="auto" w:fill="FFFFFF"/>
            <w:tcMar>
              <w:top w:w="60" w:type="dxa"/>
              <w:left w:w="80" w:type="dxa"/>
              <w:bottom w:w="60" w:type="dxa"/>
              <w:right w:w="80" w:type="dxa"/>
            </w:tcMar>
          </w:tcPr>
          <w:p w14:paraId="44533291">
            <w:pPr>
              <w:spacing w:after="0"/>
            </w:pPr>
            <w:r>
              <w:rPr>
                <w:rFonts w:ascii="Calibri" w:hAnsi="Calibri"/>
                <w:color w:val="2D3748"/>
                <w:sz w:val="16"/>
              </w:rPr>
              <w:t>DevSecOps Adoption &amp; Tool Friction</w:t>
            </w:r>
          </w:p>
        </w:tc>
        <w:tc>
          <w:tcPr>
            <w:tcW w:w="1584" w:type="dxa"/>
            <w:shd w:val="clear" w:color="auto" w:fill="FFFFFF"/>
            <w:tcMar>
              <w:top w:w="60" w:type="dxa"/>
              <w:left w:w="80" w:type="dxa"/>
              <w:bottom w:w="60" w:type="dxa"/>
              <w:right w:w="80" w:type="dxa"/>
            </w:tcMar>
          </w:tcPr>
          <w:p w14:paraId="27CEAC7A">
            <w:pPr>
              <w:spacing w:after="0"/>
            </w:pPr>
            <w:r>
              <w:rPr>
                <w:rFonts w:ascii="Calibri" w:hAnsi="Calibri"/>
                <w:color w:val="2D3748"/>
                <w:sz w:val="16"/>
              </w:rPr>
              <w:t>SLR (71 empirical studies)</w:t>
            </w:r>
          </w:p>
        </w:tc>
        <w:tc>
          <w:tcPr>
            <w:tcW w:w="1584" w:type="dxa"/>
            <w:shd w:val="clear" w:color="auto" w:fill="FFFFFF"/>
            <w:tcMar>
              <w:top w:w="60" w:type="dxa"/>
              <w:left w:w="80" w:type="dxa"/>
              <w:bottom w:w="60" w:type="dxa"/>
              <w:right w:w="80" w:type="dxa"/>
            </w:tcMar>
          </w:tcPr>
          <w:p w14:paraId="284C5F51">
            <w:pPr>
              <w:spacing w:after="0"/>
            </w:pPr>
            <w:r>
              <w:rPr>
                <w:rFonts w:ascii="Calibri" w:hAnsi="Calibri"/>
                <w:color w:val="2D3748"/>
                <w:sz w:val="16"/>
              </w:rPr>
              <w:t>Categorizes 43 distinct friction points in toolchains</w:t>
            </w:r>
          </w:p>
        </w:tc>
        <w:tc>
          <w:tcPr>
            <w:tcW w:w="1584" w:type="dxa"/>
            <w:shd w:val="clear" w:color="auto" w:fill="FFFFFF"/>
            <w:tcMar>
              <w:top w:w="60" w:type="dxa"/>
              <w:left w:w="80" w:type="dxa"/>
              <w:bottom w:w="60" w:type="dxa"/>
              <w:right w:w="80" w:type="dxa"/>
            </w:tcMar>
          </w:tcPr>
          <w:p w14:paraId="46422382">
            <w:pPr>
              <w:spacing w:after="0"/>
            </w:pPr>
            <w:r>
              <w:rPr>
                <w:rFonts w:ascii="Calibri" w:hAnsi="Calibri"/>
                <w:color w:val="2D3748"/>
                <w:sz w:val="16"/>
              </w:rPr>
              <w:t>Cloud enterprise focus; no local OS console model</w:t>
            </w:r>
          </w:p>
        </w:tc>
        <w:tc>
          <w:tcPr>
            <w:tcW w:w="1440" w:type="dxa"/>
            <w:shd w:val="clear" w:color="auto" w:fill="FFFFFF"/>
            <w:tcMar>
              <w:top w:w="60" w:type="dxa"/>
              <w:left w:w="80" w:type="dxa"/>
              <w:bottom w:w="60" w:type="dxa"/>
              <w:right w:w="80" w:type="dxa"/>
            </w:tcMar>
          </w:tcPr>
          <w:p w14:paraId="0227E259">
            <w:pPr>
              <w:spacing w:after="0"/>
            </w:pPr>
            <w:r>
              <w:rPr>
                <w:rFonts w:ascii="Calibri" w:hAnsi="Calibri"/>
                <w:color w:val="2D3748"/>
                <w:sz w:val="16"/>
              </w:rPr>
              <w:t>Custom Shell REPL (`devshell&gt;`)</w:t>
            </w:r>
          </w:p>
        </w:tc>
      </w:tr>
      <w:tr w14:paraId="426CF5B2">
        <w:tblPrEx>
          <w:tblCellMar>
            <w:top w:w="0" w:type="dxa"/>
            <w:left w:w="108" w:type="dxa"/>
            <w:bottom w:w="0" w:type="dxa"/>
            <w:right w:w="108" w:type="dxa"/>
          </w:tblCellMar>
        </w:tblPrEx>
        <w:trPr>
          <w:jc w:val="center"/>
        </w:trPr>
        <w:tc>
          <w:tcPr>
            <w:tcW w:w="1584" w:type="dxa"/>
            <w:shd w:val="clear" w:color="auto" w:fill="F2F5F9"/>
            <w:tcMar>
              <w:top w:w="60" w:type="dxa"/>
              <w:left w:w="80" w:type="dxa"/>
              <w:bottom w:w="60" w:type="dxa"/>
              <w:right w:w="80" w:type="dxa"/>
            </w:tcMar>
          </w:tcPr>
          <w:p w14:paraId="36B44246">
            <w:pPr>
              <w:spacing w:after="0"/>
            </w:pPr>
            <w:r>
              <w:rPr>
                <w:rFonts w:ascii="Calibri" w:hAnsi="Calibri"/>
                <w:color w:val="2D3748"/>
                <w:sz w:val="16"/>
              </w:rPr>
              <w:t>Rafi et al. (2020)</w:t>
            </w:r>
          </w:p>
        </w:tc>
        <w:tc>
          <w:tcPr>
            <w:tcW w:w="1584" w:type="dxa"/>
            <w:shd w:val="clear" w:color="auto" w:fill="F2F5F9"/>
            <w:tcMar>
              <w:top w:w="60" w:type="dxa"/>
              <w:left w:w="80" w:type="dxa"/>
              <w:bottom w:w="60" w:type="dxa"/>
              <w:right w:w="80" w:type="dxa"/>
            </w:tcMar>
          </w:tcPr>
          <w:p w14:paraId="28787A57">
            <w:pPr>
              <w:spacing w:after="0"/>
            </w:pPr>
            <w:r>
              <w:rPr>
                <w:rFonts w:ascii="Calibri" w:hAnsi="Calibri"/>
                <w:color w:val="2D3748"/>
                <w:sz w:val="16"/>
              </w:rPr>
              <w:t>Security Task Prioritization</w:t>
            </w:r>
          </w:p>
        </w:tc>
        <w:tc>
          <w:tcPr>
            <w:tcW w:w="1584" w:type="dxa"/>
            <w:shd w:val="clear" w:color="auto" w:fill="F2F5F9"/>
            <w:tcMar>
              <w:top w:w="60" w:type="dxa"/>
              <w:left w:w="80" w:type="dxa"/>
              <w:bottom w:w="60" w:type="dxa"/>
              <w:right w:w="80" w:type="dxa"/>
            </w:tcMar>
          </w:tcPr>
          <w:p w14:paraId="3808F6C5">
            <w:pPr>
              <w:spacing w:after="0"/>
            </w:pPr>
            <w:r>
              <w:rPr>
                <w:rFonts w:ascii="Calibri" w:hAnsi="Calibri"/>
                <w:color w:val="2D3748"/>
                <w:sz w:val="16"/>
              </w:rPr>
              <w:t>MCDM (PROMETHEE II) + Survey</w:t>
            </w:r>
          </w:p>
        </w:tc>
        <w:tc>
          <w:tcPr>
            <w:tcW w:w="1584" w:type="dxa"/>
            <w:shd w:val="clear" w:color="auto" w:fill="F2F5F9"/>
            <w:tcMar>
              <w:top w:w="60" w:type="dxa"/>
              <w:left w:w="80" w:type="dxa"/>
              <w:bottom w:w="60" w:type="dxa"/>
              <w:right w:w="80" w:type="dxa"/>
            </w:tcMar>
          </w:tcPr>
          <w:p w14:paraId="3A60A684">
            <w:pPr>
              <w:spacing w:after="0"/>
            </w:pPr>
            <w:r>
              <w:rPr>
                <w:rFonts w:ascii="Calibri" w:hAnsi="Calibri"/>
                <w:color w:val="2D3748"/>
                <w:sz w:val="16"/>
              </w:rPr>
              <w:t>Mathematically proves access control &amp; audit priority</w:t>
            </w:r>
          </w:p>
        </w:tc>
        <w:tc>
          <w:tcPr>
            <w:tcW w:w="1584" w:type="dxa"/>
            <w:shd w:val="clear" w:color="auto" w:fill="F2F5F9"/>
            <w:tcMar>
              <w:top w:w="60" w:type="dxa"/>
              <w:left w:w="80" w:type="dxa"/>
              <w:bottom w:w="60" w:type="dxa"/>
              <w:right w:w="80" w:type="dxa"/>
            </w:tcMar>
          </w:tcPr>
          <w:p w14:paraId="32FC6BC9">
            <w:pPr>
              <w:spacing w:after="0"/>
            </w:pPr>
            <w:r>
              <w:rPr>
                <w:rFonts w:ascii="Calibri" w:hAnsi="Calibri"/>
                <w:color w:val="2D3748"/>
                <w:sz w:val="16"/>
              </w:rPr>
              <w:t>Theoretical ranking without software implementation</w:t>
            </w:r>
          </w:p>
        </w:tc>
        <w:tc>
          <w:tcPr>
            <w:tcW w:w="1440" w:type="dxa"/>
            <w:shd w:val="clear" w:color="auto" w:fill="F2F5F9"/>
            <w:tcMar>
              <w:top w:w="60" w:type="dxa"/>
              <w:left w:w="80" w:type="dxa"/>
              <w:bottom w:w="60" w:type="dxa"/>
              <w:right w:w="80" w:type="dxa"/>
            </w:tcMar>
          </w:tcPr>
          <w:p w14:paraId="1927B9CA">
            <w:pPr>
              <w:spacing w:after="0"/>
            </w:pPr>
            <w:r>
              <w:rPr>
                <w:rFonts w:ascii="Calibri" w:hAnsi="Calibri"/>
                <w:color w:val="2D3748"/>
                <w:sz w:val="16"/>
              </w:rPr>
              <w:t>Security Layer &amp; Audit Logger</w:t>
            </w:r>
          </w:p>
        </w:tc>
      </w:tr>
      <w:tr w14:paraId="0F474ECC">
        <w:tblPrEx>
          <w:tblCellMar>
            <w:top w:w="0" w:type="dxa"/>
            <w:left w:w="108" w:type="dxa"/>
            <w:bottom w:w="0" w:type="dxa"/>
            <w:right w:w="108" w:type="dxa"/>
          </w:tblCellMar>
        </w:tblPrEx>
        <w:trPr>
          <w:jc w:val="center"/>
        </w:trPr>
        <w:tc>
          <w:tcPr>
            <w:tcW w:w="1584" w:type="dxa"/>
            <w:shd w:val="clear" w:color="auto" w:fill="FFFFFF"/>
            <w:tcMar>
              <w:top w:w="60" w:type="dxa"/>
              <w:left w:w="80" w:type="dxa"/>
              <w:bottom w:w="60" w:type="dxa"/>
              <w:right w:w="80" w:type="dxa"/>
            </w:tcMar>
          </w:tcPr>
          <w:p w14:paraId="3A10CEE2">
            <w:pPr>
              <w:spacing w:after="0"/>
            </w:pPr>
            <w:r>
              <w:rPr>
                <w:rFonts w:ascii="Calibri" w:hAnsi="Calibri"/>
                <w:color w:val="2D3748"/>
                <w:sz w:val="16"/>
              </w:rPr>
              <w:t>Greenberg &amp; Blatt (2020)</w:t>
            </w:r>
          </w:p>
        </w:tc>
        <w:tc>
          <w:tcPr>
            <w:tcW w:w="1584" w:type="dxa"/>
            <w:shd w:val="clear" w:color="auto" w:fill="FFFFFF"/>
            <w:tcMar>
              <w:top w:w="60" w:type="dxa"/>
              <w:left w:w="80" w:type="dxa"/>
              <w:bottom w:w="60" w:type="dxa"/>
              <w:right w:w="80" w:type="dxa"/>
            </w:tcMar>
          </w:tcPr>
          <w:p w14:paraId="15E55F2B">
            <w:pPr>
              <w:spacing w:after="0"/>
            </w:pPr>
            <w:r>
              <w:rPr>
                <w:rFonts w:ascii="Calibri" w:hAnsi="Calibri"/>
                <w:color w:val="2D3748"/>
                <w:sz w:val="16"/>
              </w:rPr>
              <w:t>POSIX Shell Grammar &amp; Execution</w:t>
            </w:r>
          </w:p>
        </w:tc>
        <w:tc>
          <w:tcPr>
            <w:tcW w:w="1584" w:type="dxa"/>
            <w:shd w:val="clear" w:color="auto" w:fill="FFFFFF"/>
            <w:tcMar>
              <w:top w:w="60" w:type="dxa"/>
              <w:left w:w="80" w:type="dxa"/>
              <w:bottom w:w="60" w:type="dxa"/>
              <w:right w:w="80" w:type="dxa"/>
            </w:tcMar>
          </w:tcPr>
          <w:p w14:paraId="294D9792">
            <w:pPr>
              <w:spacing w:after="0"/>
            </w:pPr>
            <w:r>
              <w:rPr>
                <w:rFonts w:ascii="Calibri" w:hAnsi="Calibri"/>
                <w:color w:val="2D3748"/>
                <w:sz w:val="16"/>
              </w:rPr>
              <w:t>Formal semantics &amp; differential test</w:t>
            </w:r>
          </w:p>
        </w:tc>
        <w:tc>
          <w:tcPr>
            <w:tcW w:w="1584" w:type="dxa"/>
            <w:shd w:val="clear" w:color="auto" w:fill="FFFFFF"/>
            <w:tcMar>
              <w:top w:w="60" w:type="dxa"/>
              <w:left w:w="80" w:type="dxa"/>
              <w:bottom w:w="60" w:type="dxa"/>
              <w:right w:w="80" w:type="dxa"/>
            </w:tcMar>
          </w:tcPr>
          <w:p w14:paraId="17BB2D46">
            <w:pPr>
              <w:spacing w:after="0"/>
            </w:pPr>
            <w:r>
              <w:rPr>
                <w:rFonts w:ascii="Calibri" w:hAnsi="Calibri"/>
                <w:color w:val="2D3748"/>
                <w:sz w:val="16"/>
              </w:rPr>
              <w:t>Exposes race conditions &amp; signal bugs in subshells</w:t>
            </w:r>
          </w:p>
        </w:tc>
        <w:tc>
          <w:tcPr>
            <w:tcW w:w="1584" w:type="dxa"/>
            <w:shd w:val="clear" w:color="auto" w:fill="FFFFFF"/>
            <w:tcMar>
              <w:top w:w="60" w:type="dxa"/>
              <w:left w:w="80" w:type="dxa"/>
              <w:bottom w:w="60" w:type="dxa"/>
              <w:right w:w="80" w:type="dxa"/>
            </w:tcMar>
          </w:tcPr>
          <w:p w14:paraId="0DD5FF74">
            <w:pPr>
              <w:spacing w:after="0"/>
            </w:pPr>
            <w:r>
              <w:rPr>
                <w:rFonts w:ascii="Calibri" w:hAnsi="Calibri"/>
                <w:color w:val="2D3748"/>
                <w:sz w:val="16"/>
              </w:rPr>
              <w:t>Purely theoretical; no DevSecOps/monitoring tasks</w:t>
            </w:r>
          </w:p>
        </w:tc>
        <w:tc>
          <w:tcPr>
            <w:tcW w:w="1440" w:type="dxa"/>
            <w:shd w:val="clear" w:color="auto" w:fill="FFFFFF"/>
            <w:tcMar>
              <w:top w:w="60" w:type="dxa"/>
              <w:left w:w="80" w:type="dxa"/>
              <w:bottom w:w="60" w:type="dxa"/>
              <w:right w:w="80" w:type="dxa"/>
            </w:tcMar>
          </w:tcPr>
          <w:p w14:paraId="18984E03">
            <w:pPr>
              <w:spacing w:after="0"/>
            </w:pPr>
            <w:r>
              <w:rPr>
                <w:rFonts w:ascii="Calibri" w:hAnsi="Calibri"/>
                <w:color w:val="2D3748"/>
                <w:sz w:val="16"/>
              </w:rPr>
              <w:t>Command Parser &amp; Process Manager</w:t>
            </w:r>
          </w:p>
        </w:tc>
      </w:tr>
      <w:tr w14:paraId="4AC44875">
        <w:tblPrEx>
          <w:tblCellMar>
            <w:top w:w="0" w:type="dxa"/>
            <w:left w:w="108" w:type="dxa"/>
            <w:bottom w:w="0" w:type="dxa"/>
            <w:right w:w="108" w:type="dxa"/>
          </w:tblCellMar>
        </w:tblPrEx>
        <w:trPr>
          <w:jc w:val="center"/>
        </w:trPr>
        <w:tc>
          <w:tcPr>
            <w:tcW w:w="1584" w:type="dxa"/>
            <w:shd w:val="clear" w:color="auto" w:fill="F2F5F9"/>
            <w:tcMar>
              <w:top w:w="60" w:type="dxa"/>
              <w:left w:w="80" w:type="dxa"/>
              <w:bottom w:w="60" w:type="dxa"/>
              <w:right w:w="80" w:type="dxa"/>
            </w:tcMar>
          </w:tcPr>
          <w:p w14:paraId="6B0633F7">
            <w:pPr>
              <w:spacing w:after="0"/>
            </w:pPr>
            <w:r>
              <w:rPr>
                <w:rFonts w:ascii="Calibri" w:hAnsi="Calibri"/>
                <w:color w:val="2D3748"/>
                <w:sz w:val="16"/>
              </w:rPr>
              <w:t>Zhu et al. (2023)</w:t>
            </w:r>
          </w:p>
        </w:tc>
        <w:tc>
          <w:tcPr>
            <w:tcW w:w="1584" w:type="dxa"/>
            <w:shd w:val="clear" w:color="auto" w:fill="F2F5F9"/>
            <w:tcMar>
              <w:top w:w="60" w:type="dxa"/>
              <w:left w:w="80" w:type="dxa"/>
              <w:bottom w:w="60" w:type="dxa"/>
              <w:right w:w="80" w:type="dxa"/>
            </w:tcMar>
          </w:tcPr>
          <w:p w14:paraId="68B099E0">
            <w:pPr>
              <w:spacing w:after="0"/>
            </w:pPr>
            <w:r>
              <w:rPr>
                <w:rFonts w:ascii="Calibri" w:hAnsi="Calibri"/>
                <w:color w:val="2D3748"/>
                <w:sz w:val="16"/>
              </w:rPr>
              <w:t>Low-Overhead Host Telemetry</w:t>
            </w:r>
          </w:p>
        </w:tc>
        <w:tc>
          <w:tcPr>
            <w:tcW w:w="1584" w:type="dxa"/>
            <w:shd w:val="clear" w:color="auto" w:fill="F2F5F9"/>
            <w:tcMar>
              <w:top w:w="60" w:type="dxa"/>
              <w:left w:w="80" w:type="dxa"/>
              <w:bottom w:w="60" w:type="dxa"/>
              <w:right w:w="80" w:type="dxa"/>
            </w:tcMar>
          </w:tcPr>
          <w:p w14:paraId="1A43E38F">
            <w:pPr>
              <w:spacing w:after="0"/>
            </w:pPr>
            <w:r>
              <w:rPr>
                <w:rFonts w:ascii="Calibri" w:hAnsi="Calibri"/>
                <w:color w:val="2D3748"/>
                <w:sz w:val="16"/>
              </w:rPr>
              <w:t>C/C++ kernel/user-space filtering</w:t>
            </w:r>
          </w:p>
        </w:tc>
        <w:tc>
          <w:tcPr>
            <w:tcW w:w="1584" w:type="dxa"/>
            <w:shd w:val="clear" w:color="auto" w:fill="F2F5F9"/>
            <w:tcMar>
              <w:top w:w="60" w:type="dxa"/>
              <w:left w:w="80" w:type="dxa"/>
              <w:bottom w:w="60" w:type="dxa"/>
              <w:right w:w="80" w:type="dxa"/>
            </w:tcMar>
          </w:tcPr>
          <w:p w14:paraId="77339E5E">
            <w:pPr>
              <w:spacing w:after="0"/>
            </w:pPr>
            <w:r>
              <w:rPr>
                <w:rFonts w:ascii="Calibri" w:hAnsi="Calibri"/>
                <w:color w:val="2D3748"/>
                <w:sz w:val="16"/>
              </w:rPr>
              <w:t>Proves /proc &amp; audit telemetry achieves &lt;3% CPU</w:t>
            </w:r>
          </w:p>
        </w:tc>
        <w:tc>
          <w:tcPr>
            <w:tcW w:w="1584" w:type="dxa"/>
            <w:shd w:val="clear" w:color="auto" w:fill="F2F5F9"/>
            <w:tcMar>
              <w:top w:w="60" w:type="dxa"/>
              <w:left w:w="80" w:type="dxa"/>
              <w:bottom w:w="60" w:type="dxa"/>
              <w:right w:w="80" w:type="dxa"/>
            </w:tcMar>
          </w:tcPr>
          <w:p w14:paraId="7CFE2478">
            <w:pPr>
              <w:spacing w:after="0"/>
            </w:pPr>
            <w:r>
              <w:rPr>
                <w:rFonts w:ascii="Calibri" w:hAnsi="Calibri"/>
                <w:color w:val="2D3748"/>
                <w:sz w:val="16"/>
              </w:rPr>
              <w:t>Tailored for APT graph engines, not CLI consoles</w:t>
            </w:r>
          </w:p>
        </w:tc>
        <w:tc>
          <w:tcPr>
            <w:tcW w:w="1440" w:type="dxa"/>
            <w:shd w:val="clear" w:color="auto" w:fill="F2F5F9"/>
            <w:tcMar>
              <w:top w:w="60" w:type="dxa"/>
              <w:left w:w="80" w:type="dxa"/>
              <w:bottom w:w="60" w:type="dxa"/>
              <w:right w:w="80" w:type="dxa"/>
            </w:tcMar>
          </w:tcPr>
          <w:p w14:paraId="20F66150">
            <w:pPr>
              <w:spacing w:after="0"/>
            </w:pPr>
            <w:r>
              <w:rPr>
                <w:rFonts w:ascii="Calibri" w:hAnsi="Calibri"/>
                <w:color w:val="2D3748"/>
                <w:sz w:val="16"/>
              </w:rPr>
              <w:t>System Monitor &amp; Audit Logging</w:t>
            </w:r>
          </w:p>
        </w:tc>
      </w:tr>
      <w:tr w14:paraId="0F40931C">
        <w:tblPrEx>
          <w:tblCellMar>
            <w:top w:w="0" w:type="dxa"/>
            <w:left w:w="108" w:type="dxa"/>
            <w:bottom w:w="0" w:type="dxa"/>
            <w:right w:w="108" w:type="dxa"/>
          </w:tblCellMar>
        </w:tblPrEx>
        <w:trPr>
          <w:jc w:val="center"/>
        </w:trPr>
        <w:tc>
          <w:tcPr>
            <w:tcW w:w="1584" w:type="dxa"/>
            <w:shd w:val="clear" w:color="auto" w:fill="FFFFFF"/>
            <w:tcMar>
              <w:top w:w="60" w:type="dxa"/>
              <w:left w:w="80" w:type="dxa"/>
              <w:bottom w:w="60" w:type="dxa"/>
              <w:right w:w="80" w:type="dxa"/>
            </w:tcMar>
          </w:tcPr>
          <w:p w14:paraId="1CDD9D19">
            <w:pPr>
              <w:spacing w:after="0"/>
            </w:pPr>
            <w:r>
              <w:rPr>
                <w:rFonts w:ascii="Calibri" w:hAnsi="Calibri"/>
                <w:color w:val="2D3748"/>
                <w:sz w:val="16"/>
              </w:rPr>
              <w:t>Díaz et al. (2019)</w:t>
            </w:r>
          </w:p>
        </w:tc>
        <w:tc>
          <w:tcPr>
            <w:tcW w:w="1584" w:type="dxa"/>
            <w:shd w:val="clear" w:color="auto" w:fill="FFFFFF"/>
            <w:tcMar>
              <w:top w:w="60" w:type="dxa"/>
              <w:left w:w="80" w:type="dxa"/>
              <w:bottom w:w="60" w:type="dxa"/>
              <w:right w:w="80" w:type="dxa"/>
            </w:tcMar>
          </w:tcPr>
          <w:p w14:paraId="4E326B7B">
            <w:pPr>
              <w:spacing w:after="0"/>
            </w:pPr>
            <w:r>
              <w:rPr>
                <w:rFonts w:ascii="Calibri" w:hAnsi="Calibri"/>
                <w:color w:val="2D3748"/>
                <w:sz w:val="16"/>
              </w:rPr>
              <w:t>Developer-Centric Monitoring</w:t>
            </w:r>
          </w:p>
        </w:tc>
        <w:tc>
          <w:tcPr>
            <w:tcW w:w="1584" w:type="dxa"/>
            <w:shd w:val="clear" w:color="auto" w:fill="FFFFFF"/>
            <w:tcMar>
              <w:top w:w="60" w:type="dxa"/>
              <w:left w:w="80" w:type="dxa"/>
              <w:bottom w:w="60" w:type="dxa"/>
              <w:right w:w="80" w:type="dxa"/>
            </w:tcMar>
          </w:tcPr>
          <w:p w14:paraId="7BCA44FD">
            <w:pPr>
              <w:spacing w:after="0"/>
            </w:pPr>
            <w:r>
              <w:rPr>
                <w:rFonts w:ascii="Calibri" w:hAnsi="Calibri"/>
                <w:color w:val="2D3748"/>
                <w:sz w:val="16"/>
              </w:rPr>
              <w:t>Design Science Research (DSR)</w:t>
            </w:r>
          </w:p>
        </w:tc>
        <w:tc>
          <w:tcPr>
            <w:tcW w:w="1584" w:type="dxa"/>
            <w:shd w:val="clear" w:color="auto" w:fill="FFFFFF"/>
            <w:tcMar>
              <w:top w:w="60" w:type="dxa"/>
              <w:left w:w="80" w:type="dxa"/>
              <w:bottom w:w="60" w:type="dxa"/>
              <w:right w:w="80" w:type="dxa"/>
            </w:tcMar>
          </w:tcPr>
          <w:p w14:paraId="6B0641A9">
            <w:pPr>
              <w:spacing w:after="0"/>
            </w:pPr>
            <w:r>
              <w:rPr>
                <w:rFonts w:ascii="Calibri" w:hAnsi="Calibri"/>
                <w:color w:val="2D3748"/>
                <w:sz w:val="16"/>
              </w:rPr>
              <w:t>Demonstrates 44% reduction in MTTD anomaly detection</w:t>
            </w:r>
          </w:p>
        </w:tc>
        <w:tc>
          <w:tcPr>
            <w:tcW w:w="1584" w:type="dxa"/>
            <w:shd w:val="clear" w:color="auto" w:fill="FFFFFF"/>
            <w:tcMar>
              <w:top w:w="60" w:type="dxa"/>
              <w:left w:w="80" w:type="dxa"/>
              <w:bottom w:w="60" w:type="dxa"/>
              <w:right w:w="80" w:type="dxa"/>
            </w:tcMar>
          </w:tcPr>
          <w:p w14:paraId="1A50F7F4">
            <w:pPr>
              <w:spacing w:after="0"/>
            </w:pPr>
            <w:r>
              <w:rPr>
                <w:rFonts w:ascii="Calibri" w:hAnsi="Calibri"/>
                <w:color w:val="2D3748"/>
                <w:sz w:val="16"/>
              </w:rPr>
              <w:t>Relies on heavy external monitoring daemons</w:t>
            </w:r>
          </w:p>
        </w:tc>
        <w:tc>
          <w:tcPr>
            <w:tcW w:w="1440" w:type="dxa"/>
            <w:shd w:val="clear" w:color="auto" w:fill="FFFFFF"/>
            <w:tcMar>
              <w:top w:w="60" w:type="dxa"/>
              <w:left w:w="80" w:type="dxa"/>
              <w:bottom w:w="60" w:type="dxa"/>
              <w:right w:w="80" w:type="dxa"/>
            </w:tcMar>
          </w:tcPr>
          <w:p w14:paraId="35F407F8">
            <w:pPr>
              <w:spacing w:after="0"/>
            </w:pPr>
            <w:r>
              <w:rPr>
                <w:rFonts w:ascii="Calibri" w:hAnsi="Calibri"/>
                <w:color w:val="2D3748"/>
                <w:sz w:val="16"/>
              </w:rPr>
              <w:t>System Monitoring (`monitor`)</w:t>
            </w:r>
          </w:p>
        </w:tc>
      </w:tr>
      <w:tr w14:paraId="3F934387">
        <w:tblPrEx>
          <w:tblCellMar>
            <w:top w:w="0" w:type="dxa"/>
            <w:left w:w="108" w:type="dxa"/>
            <w:bottom w:w="0" w:type="dxa"/>
            <w:right w:w="108" w:type="dxa"/>
          </w:tblCellMar>
        </w:tblPrEx>
        <w:trPr>
          <w:jc w:val="center"/>
        </w:trPr>
        <w:tc>
          <w:tcPr>
            <w:tcW w:w="1584" w:type="dxa"/>
            <w:shd w:val="clear" w:color="auto" w:fill="F2F5F9"/>
            <w:tcMar>
              <w:top w:w="60" w:type="dxa"/>
              <w:left w:w="80" w:type="dxa"/>
              <w:bottom w:w="60" w:type="dxa"/>
              <w:right w:w="80" w:type="dxa"/>
            </w:tcMar>
          </w:tcPr>
          <w:p w14:paraId="17D8EC80">
            <w:pPr>
              <w:spacing w:after="0"/>
            </w:pPr>
            <w:r>
              <w:rPr>
                <w:rFonts w:ascii="Calibri" w:hAnsi="Calibri"/>
                <w:color w:val="2D3748"/>
                <w:sz w:val="16"/>
              </w:rPr>
              <w:t>Mao et al. (2023)</w:t>
            </w:r>
          </w:p>
        </w:tc>
        <w:tc>
          <w:tcPr>
            <w:tcW w:w="1584" w:type="dxa"/>
            <w:shd w:val="clear" w:color="auto" w:fill="F2F5F9"/>
            <w:tcMar>
              <w:top w:w="60" w:type="dxa"/>
              <w:left w:w="80" w:type="dxa"/>
              <w:bottom w:w="60" w:type="dxa"/>
              <w:right w:w="80" w:type="dxa"/>
            </w:tcMar>
          </w:tcPr>
          <w:p w14:paraId="1ED4FD8E">
            <w:pPr>
              <w:spacing w:after="0"/>
            </w:pPr>
            <w:r>
              <w:rPr>
                <w:rFonts w:ascii="Calibri" w:hAnsi="Calibri"/>
                <w:color w:val="2D3748"/>
                <w:sz w:val="16"/>
              </w:rPr>
              <w:t>Tool Sprawl &amp; Industry Disconnect</w:t>
            </w:r>
          </w:p>
        </w:tc>
        <w:tc>
          <w:tcPr>
            <w:tcW w:w="1584" w:type="dxa"/>
            <w:shd w:val="clear" w:color="auto" w:fill="F2F5F9"/>
            <w:tcMar>
              <w:top w:w="60" w:type="dxa"/>
              <w:left w:w="80" w:type="dxa"/>
              <w:bottom w:w="60" w:type="dxa"/>
              <w:right w:w="80" w:type="dxa"/>
            </w:tcMar>
          </w:tcPr>
          <w:p w14:paraId="44025359">
            <w:pPr>
              <w:spacing w:after="0"/>
            </w:pPr>
            <w:r>
              <w:rPr>
                <w:rFonts w:ascii="Calibri" w:hAnsi="Calibri"/>
                <w:color w:val="2D3748"/>
                <w:sz w:val="16"/>
              </w:rPr>
              <w:t>Mixed-methods empirical inquiry</w:t>
            </w:r>
          </w:p>
        </w:tc>
        <w:tc>
          <w:tcPr>
            <w:tcW w:w="1584" w:type="dxa"/>
            <w:shd w:val="clear" w:color="auto" w:fill="F2F5F9"/>
            <w:tcMar>
              <w:top w:w="60" w:type="dxa"/>
              <w:left w:w="80" w:type="dxa"/>
              <w:bottom w:w="60" w:type="dxa"/>
              <w:right w:w="80" w:type="dxa"/>
            </w:tcMar>
          </w:tcPr>
          <w:p w14:paraId="0665D41C">
            <w:pPr>
              <w:spacing w:after="0"/>
            </w:pPr>
            <w:r>
              <w:rPr>
                <w:rFonts w:ascii="Calibri" w:hAnsi="Calibri"/>
                <w:color w:val="2D3748"/>
                <w:sz w:val="16"/>
              </w:rPr>
              <w:t>Empirically proves misconfigurations from tool switching</w:t>
            </w:r>
          </w:p>
        </w:tc>
        <w:tc>
          <w:tcPr>
            <w:tcW w:w="1584" w:type="dxa"/>
            <w:shd w:val="clear" w:color="auto" w:fill="F2F5F9"/>
            <w:tcMar>
              <w:top w:w="60" w:type="dxa"/>
              <w:left w:w="80" w:type="dxa"/>
              <w:bottom w:w="60" w:type="dxa"/>
              <w:right w:w="80" w:type="dxa"/>
            </w:tcMar>
          </w:tcPr>
          <w:p w14:paraId="4337E60B">
            <w:pPr>
              <w:spacing w:after="0"/>
            </w:pPr>
            <w:r>
              <w:rPr>
                <w:rFonts w:ascii="Calibri" w:hAnsi="Calibri"/>
                <w:color w:val="2D3748"/>
                <w:sz w:val="16"/>
              </w:rPr>
              <w:t>Identifies pain points without proposing a software tool</w:t>
            </w:r>
          </w:p>
        </w:tc>
        <w:tc>
          <w:tcPr>
            <w:tcW w:w="1440" w:type="dxa"/>
            <w:shd w:val="clear" w:color="auto" w:fill="F2F5F9"/>
            <w:tcMar>
              <w:top w:w="60" w:type="dxa"/>
              <w:left w:w="80" w:type="dxa"/>
              <w:bottom w:w="60" w:type="dxa"/>
              <w:right w:w="80" w:type="dxa"/>
            </w:tcMar>
          </w:tcPr>
          <w:p w14:paraId="77BB3C9B">
            <w:pPr>
              <w:spacing w:after="0"/>
            </w:pPr>
            <w:r>
              <w:rPr>
                <w:rFonts w:ascii="Calibri" w:hAnsi="Calibri"/>
                <w:color w:val="2D3748"/>
                <w:sz w:val="16"/>
              </w:rPr>
              <w:t>Unified Command Architecture</w:t>
            </w:r>
          </w:p>
        </w:tc>
      </w:tr>
      <w:tr w14:paraId="2DED7C62">
        <w:tblPrEx>
          <w:tblCellMar>
            <w:top w:w="0" w:type="dxa"/>
            <w:left w:w="108" w:type="dxa"/>
            <w:bottom w:w="0" w:type="dxa"/>
            <w:right w:w="108" w:type="dxa"/>
          </w:tblCellMar>
        </w:tblPrEx>
        <w:trPr>
          <w:jc w:val="center"/>
        </w:trPr>
        <w:tc>
          <w:tcPr>
            <w:tcW w:w="1584" w:type="dxa"/>
            <w:shd w:val="clear" w:color="auto" w:fill="FFFFFF"/>
            <w:tcMar>
              <w:top w:w="60" w:type="dxa"/>
              <w:left w:w="80" w:type="dxa"/>
              <w:bottom w:w="60" w:type="dxa"/>
              <w:right w:w="80" w:type="dxa"/>
            </w:tcMar>
          </w:tcPr>
          <w:p w14:paraId="0D438198">
            <w:pPr>
              <w:spacing w:after="0"/>
            </w:pPr>
            <w:r>
              <w:rPr>
                <w:rFonts w:ascii="Calibri" w:hAnsi="Calibri"/>
                <w:color w:val="2D3748"/>
                <w:sz w:val="16"/>
              </w:rPr>
              <w:t>Bautista &amp; Yoo (2025)</w:t>
            </w:r>
          </w:p>
        </w:tc>
        <w:tc>
          <w:tcPr>
            <w:tcW w:w="1584" w:type="dxa"/>
            <w:shd w:val="clear" w:color="auto" w:fill="FFFFFF"/>
            <w:tcMar>
              <w:top w:w="60" w:type="dxa"/>
              <w:left w:w="80" w:type="dxa"/>
              <w:bottom w:w="60" w:type="dxa"/>
              <w:right w:w="80" w:type="dxa"/>
            </w:tcMar>
          </w:tcPr>
          <w:p w14:paraId="02597634">
            <w:pPr>
              <w:spacing w:after="0"/>
            </w:pPr>
            <w:r>
              <w:rPr>
                <w:rFonts w:ascii="Calibri" w:hAnsi="Calibri"/>
                <w:color w:val="2D3748"/>
                <w:sz w:val="16"/>
              </w:rPr>
              <w:t>DevOps Threat Vectors &amp; Controls</w:t>
            </w:r>
          </w:p>
        </w:tc>
        <w:tc>
          <w:tcPr>
            <w:tcW w:w="1584" w:type="dxa"/>
            <w:shd w:val="clear" w:color="auto" w:fill="FFFFFF"/>
            <w:tcMar>
              <w:top w:w="60" w:type="dxa"/>
              <w:left w:w="80" w:type="dxa"/>
              <w:bottom w:w="60" w:type="dxa"/>
              <w:right w:w="80" w:type="dxa"/>
            </w:tcMar>
          </w:tcPr>
          <w:p w14:paraId="779A4A60">
            <w:pPr>
              <w:spacing w:after="0"/>
            </w:pPr>
            <w:r>
              <w:rPr>
                <w:rFonts w:ascii="Calibri" w:hAnsi="Calibri"/>
                <w:color w:val="2D3748"/>
                <w:sz w:val="16"/>
              </w:rPr>
              <w:t>PRISMA Systematic Review</w:t>
            </w:r>
          </w:p>
        </w:tc>
        <w:tc>
          <w:tcPr>
            <w:tcW w:w="1584" w:type="dxa"/>
            <w:shd w:val="clear" w:color="auto" w:fill="FFFFFF"/>
            <w:tcMar>
              <w:top w:w="60" w:type="dxa"/>
              <w:left w:w="80" w:type="dxa"/>
              <w:bottom w:w="60" w:type="dxa"/>
              <w:right w:w="80" w:type="dxa"/>
            </w:tcMar>
          </w:tcPr>
          <w:p w14:paraId="2A3D9924">
            <w:pPr>
              <w:spacing w:after="0"/>
            </w:pPr>
            <w:r>
              <w:rPr>
                <w:rFonts w:ascii="Calibri" w:hAnsi="Calibri"/>
                <w:color w:val="2D3748"/>
                <w:sz w:val="16"/>
              </w:rPr>
              <w:t>Highlights unlogged scripts as top attack vectors</w:t>
            </w:r>
          </w:p>
        </w:tc>
        <w:tc>
          <w:tcPr>
            <w:tcW w:w="1584" w:type="dxa"/>
            <w:shd w:val="clear" w:color="auto" w:fill="FFFFFF"/>
            <w:tcMar>
              <w:top w:w="60" w:type="dxa"/>
              <w:left w:w="80" w:type="dxa"/>
              <w:bottom w:w="60" w:type="dxa"/>
              <w:right w:w="80" w:type="dxa"/>
            </w:tcMar>
          </w:tcPr>
          <w:p w14:paraId="2A6BEC5B">
            <w:pPr>
              <w:spacing w:after="0"/>
            </w:pPr>
            <w:r>
              <w:rPr>
                <w:rFonts w:ascii="Calibri" w:hAnsi="Calibri"/>
                <w:color w:val="2D3748"/>
                <w:sz w:val="16"/>
              </w:rPr>
              <w:t>High-level risk matrix; no C systems implementation</w:t>
            </w:r>
          </w:p>
        </w:tc>
        <w:tc>
          <w:tcPr>
            <w:tcW w:w="1440" w:type="dxa"/>
            <w:shd w:val="clear" w:color="auto" w:fill="FFFFFF"/>
            <w:tcMar>
              <w:top w:w="60" w:type="dxa"/>
              <w:left w:w="80" w:type="dxa"/>
              <w:bottom w:w="60" w:type="dxa"/>
              <w:right w:w="80" w:type="dxa"/>
            </w:tcMar>
          </w:tcPr>
          <w:p w14:paraId="2790A55B">
            <w:pPr>
              <w:spacing w:after="0"/>
            </w:pPr>
            <w:r>
              <w:rPr>
                <w:rFonts w:ascii="Calibri" w:hAnsi="Calibri"/>
                <w:color w:val="2D3748"/>
                <w:sz w:val="16"/>
              </w:rPr>
              <w:t>Security Whitelist &amp; Permission Gating</w:t>
            </w:r>
          </w:p>
        </w:tc>
      </w:tr>
      <w:tr w14:paraId="0044A3A0">
        <w:tblPrEx>
          <w:tblCellMar>
            <w:top w:w="0" w:type="dxa"/>
            <w:left w:w="108" w:type="dxa"/>
            <w:bottom w:w="0" w:type="dxa"/>
            <w:right w:w="108" w:type="dxa"/>
          </w:tblCellMar>
        </w:tblPrEx>
        <w:trPr>
          <w:jc w:val="center"/>
        </w:trPr>
        <w:tc>
          <w:tcPr>
            <w:tcW w:w="1584" w:type="dxa"/>
            <w:shd w:val="clear" w:color="auto" w:fill="F2F5F9"/>
            <w:tcMar>
              <w:top w:w="60" w:type="dxa"/>
              <w:left w:w="80" w:type="dxa"/>
              <w:bottom w:w="60" w:type="dxa"/>
              <w:right w:w="80" w:type="dxa"/>
            </w:tcMar>
          </w:tcPr>
          <w:p w14:paraId="63C1B46E">
            <w:pPr>
              <w:spacing w:after="0"/>
            </w:pPr>
            <w:r>
              <w:rPr>
                <w:rFonts w:ascii="Calibri" w:hAnsi="Calibri"/>
                <w:color w:val="2D3748"/>
                <w:sz w:val="16"/>
              </w:rPr>
              <w:t>Tomas et al. (2019)</w:t>
            </w:r>
          </w:p>
        </w:tc>
        <w:tc>
          <w:tcPr>
            <w:tcW w:w="1584" w:type="dxa"/>
            <w:shd w:val="clear" w:color="auto" w:fill="F2F5F9"/>
            <w:tcMar>
              <w:top w:w="60" w:type="dxa"/>
              <w:left w:w="80" w:type="dxa"/>
              <w:bottom w:w="60" w:type="dxa"/>
              <w:right w:w="80" w:type="dxa"/>
            </w:tcMar>
          </w:tcPr>
          <w:p w14:paraId="35853521">
            <w:pPr>
              <w:spacing w:after="0"/>
            </w:pPr>
            <w:r>
              <w:rPr>
                <w:rFonts w:ascii="Calibri" w:hAnsi="Calibri"/>
                <w:color w:val="2D3748"/>
                <w:sz w:val="16"/>
              </w:rPr>
              <w:t>Operations &amp; Backup Automation</w:t>
            </w:r>
          </w:p>
        </w:tc>
        <w:tc>
          <w:tcPr>
            <w:tcW w:w="1584" w:type="dxa"/>
            <w:shd w:val="clear" w:color="auto" w:fill="F2F5F9"/>
            <w:tcMar>
              <w:top w:w="60" w:type="dxa"/>
              <w:left w:w="80" w:type="dxa"/>
              <w:bottom w:w="60" w:type="dxa"/>
              <w:right w:w="80" w:type="dxa"/>
            </w:tcMar>
          </w:tcPr>
          <w:p w14:paraId="1C921F1F">
            <w:pPr>
              <w:spacing w:after="0"/>
            </w:pPr>
            <w:r>
              <w:rPr>
                <w:rFonts w:ascii="Calibri" w:hAnsi="Calibri"/>
                <w:color w:val="2D3748"/>
                <w:sz w:val="16"/>
              </w:rPr>
              <w:t>Empirical CAMS survey (102 orgs)</w:t>
            </w:r>
          </w:p>
        </w:tc>
        <w:tc>
          <w:tcPr>
            <w:tcW w:w="1584" w:type="dxa"/>
            <w:shd w:val="clear" w:color="auto" w:fill="F2F5F9"/>
            <w:tcMar>
              <w:top w:w="60" w:type="dxa"/>
              <w:left w:w="80" w:type="dxa"/>
              <w:bottom w:w="60" w:type="dxa"/>
              <w:right w:w="80" w:type="dxa"/>
            </w:tcMar>
          </w:tcPr>
          <w:p w14:paraId="082D4919">
            <w:pPr>
              <w:spacing w:after="0"/>
            </w:pPr>
            <w:r>
              <w:rPr>
                <w:rFonts w:ascii="Calibri" w:hAnsi="Calibri"/>
                <w:color w:val="2D3748"/>
                <w:sz w:val="16"/>
              </w:rPr>
              <w:t>Exposes severe automation gap in backups &amp; maintenance</w:t>
            </w:r>
          </w:p>
        </w:tc>
        <w:tc>
          <w:tcPr>
            <w:tcW w:w="1584" w:type="dxa"/>
            <w:shd w:val="clear" w:color="auto" w:fill="F2F5F9"/>
            <w:tcMar>
              <w:top w:w="60" w:type="dxa"/>
              <w:left w:w="80" w:type="dxa"/>
              <w:bottom w:w="60" w:type="dxa"/>
              <w:right w:w="80" w:type="dxa"/>
            </w:tcMar>
          </w:tcPr>
          <w:p w14:paraId="420FFEDE">
            <w:pPr>
              <w:spacing w:after="0"/>
            </w:pPr>
            <w:r>
              <w:rPr>
                <w:rFonts w:ascii="Calibri" w:hAnsi="Calibri"/>
                <w:color w:val="2D3748"/>
                <w:sz w:val="16"/>
              </w:rPr>
              <w:t>Survey-based metrics; lacks platform engineering</w:t>
            </w:r>
          </w:p>
        </w:tc>
        <w:tc>
          <w:tcPr>
            <w:tcW w:w="1440" w:type="dxa"/>
            <w:shd w:val="clear" w:color="auto" w:fill="F2F5F9"/>
            <w:tcMar>
              <w:top w:w="60" w:type="dxa"/>
              <w:left w:w="80" w:type="dxa"/>
              <w:bottom w:w="60" w:type="dxa"/>
              <w:right w:w="80" w:type="dxa"/>
            </w:tcMar>
          </w:tcPr>
          <w:p w14:paraId="50E5991C">
            <w:pPr>
              <w:spacing w:after="0"/>
            </w:pPr>
            <w:r>
              <w:rPr>
                <w:rFonts w:ascii="Calibri" w:hAnsi="Calibri"/>
                <w:color w:val="2D3748"/>
                <w:sz w:val="16"/>
              </w:rPr>
              <w:t>Backup/Restore &amp; Task Scheduler</w:t>
            </w:r>
          </w:p>
        </w:tc>
      </w:tr>
    </w:tbl>
    <w:p w14:paraId="1B6666B2">
      <w:pPr>
        <w:spacing w:after="160"/>
      </w:pPr>
    </w:p>
    <w:p w14:paraId="40BCC5CD">
      <w:pPr>
        <w:pStyle w:val="3"/>
        <w:spacing w:before="240" w:after="60"/>
      </w:pPr>
      <w:r>
        <w:rPr>
          <w:rFonts w:ascii="Calibri" w:hAnsi="Calibri"/>
          <w:b/>
          <w:color w:val="1F4E79"/>
          <w:sz w:val="25"/>
        </w:rPr>
        <w:t>Synthesis of Thematic Learnings</w:t>
      </w:r>
    </w:p>
    <w:p w14:paraId="3E34BE7B">
      <w:pPr>
        <w:spacing w:after="80" w:line="276" w:lineRule="auto"/>
        <w:jc w:val="left"/>
      </w:pPr>
      <w:r>
        <w:rPr>
          <w:rFonts w:ascii="Calibri" w:hAnsi="Calibri"/>
          <w:b w:val="0"/>
          <w:i w:val="0"/>
          <w:color w:val="2D3748"/>
          <w:sz w:val="21"/>
        </w:rPr>
        <w:t>1. Common Approaches: Existing research approaches DevSecOps predominantly from a high-level CI/CD pipeline automation perspective, focusing on cloud orchestrators (Kubernetes, Jenkins) and static code analysis (SAST) tools.</w:t>
      </w:r>
    </w:p>
    <w:p w14:paraId="44F2ABDE">
      <w:pPr>
        <w:spacing w:after="80" w:line="276" w:lineRule="auto"/>
        <w:jc w:val="left"/>
      </w:pPr>
      <w:r>
        <w:rPr>
          <w:rFonts w:ascii="Calibri" w:hAnsi="Calibri"/>
          <w:b w:val="0"/>
          <w:i w:val="0"/>
          <w:color w:val="2D3748"/>
          <w:sz w:val="21"/>
        </w:rPr>
        <w:t>2. Divergent Methodologies: While software engineering researchers focus on qualitative surveys and maturity models (Mao 2023, Tomas 2019), systems researchers focus on formal semantics (Greenberg 2020) and kernel-level event tracing (Zhu 2023). Our project integrates these two disparate paradigms by embedding systems-level rigor into a practical DevSecOps console.</w:t>
      </w:r>
    </w:p>
    <w:p w14:paraId="5C4223A7">
      <w:pPr>
        <w:spacing w:after="80" w:line="276" w:lineRule="auto"/>
        <w:jc w:val="left"/>
      </w:pPr>
      <w:r>
        <w:rPr>
          <w:rFonts w:ascii="Calibri" w:hAnsi="Calibri"/>
          <w:b w:val="0"/>
          <w:i w:val="0"/>
          <w:color w:val="2D3748"/>
          <w:sz w:val="21"/>
        </w:rPr>
        <w:t>3. Solved vs. Unsolved Problems: Cloud-level build pipelines and remote deployment triggers are well solved. However, local Linux host administration remains severely fragmented, suffering from excessive telemetry resource overhead, fragile shell script wrappers, and unauthenticated command execution.</w:t>
      </w:r>
    </w:p>
    <w:p w14:paraId="5377178B">
      <w:pPr>
        <w:spacing w:after="80" w:line="276" w:lineRule="auto"/>
        <w:jc w:val="left"/>
      </w:pPr>
      <w:r>
        <w:rPr>
          <w:rFonts w:ascii="Calibri" w:hAnsi="Calibri"/>
          <w:b w:val="0"/>
          <w:i w:val="0"/>
          <w:color w:val="2D3748"/>
          <w:sz w:val="21"/>
        </w:rPr>
        <w:t>4. Recurring Limitations: Across all studies, the single most critical recurring limitation is toolchain fragmentation. Developers are burdened by constant context switching across 5+ disconnected tools, creating configuration errors and security bypasses.</w:t>
      </w:r>
    </w:p>
    <w:p w14:paraId="4F21DEF4">
      <w:pPr>
        <w:pStyle w:val="2"/>
        <w:spacing w:before="320" w:after="80"/>
      </w:pPr>
      <w:r>
        <w:rPr>
          <w:rFonts w:ascii="Calibri" w:hAnsi="Calibri"/>
          <w:b/>
          <w:color w:val="102C57"/>
          <w:sz w:val="30"/>
        </w:rPr>
        <w:t>5. Existing Systems vs. DevSecOps Command Console</w:t>
      </w:r>
    </w:p>
    <w:p w14:paraId="21658205">
      <w:pPr>
        <w:spacing w:after="80" w:line="276" w:lineRule="auto"/>
        <w:jc w:val="left"/>
      </w:pPr>
      <w:r>
        <w:rPr>
          <w:rFonts w:ascii="Calibri" w:hAnsi="Calibri"/>
          <w:b w:val="0"/>
          <w:i w:val="0"/>
          <w:color w:val="2D3748"/>
          <w:sz w:val="21"/>
        </w:rPr>
        <w:t>To establish clear differentiation, the table below compares existing commercial and open-source tools against our proposed DevSecOps Command Console (`devshell&gt;`):</w:t>
      </w:r>
    </w:p>
    <w:tbl>
      <w:tblPr>
        <w:tblStyle w:val="12"/>
        <w:tblW w:w="0" w:type="auto"/>
        <w:jc w:val="center"/>
        <w:tblLayout w:type="fixed"/>
        <w:tblCellMar>
          <w:top w:w="0" w:type="dxa"/>
          <w:left w:w="108" w:type="dxa"/>
          <w:bottom w:w="0" w:type="dxa"/>
          <w:right w:w="108" w:type="dxa"/>
        </w:tblCellMar>
      </w:tblPr>
      <w:tblGrid>
        <w:gridCol w:w="1040"/>
        <w:gridCol w:w="1040"/>
        <w:gridCol w:w="1040"/>
        <w:gridCol w:w="1040"/>
        <w:gridCol w:w="1040"/>
        <w:gridCol w:w="1040"/>
        <w:gridCol w:w="1040"/>
        <w:gridCol w:w="1040"/>
        <w:gridCol w:w="1040"/>
      </w:tblGrid>
      <w:tr w14:paraId="7EC3F753">
        <w:tblPrEx>
          <w:tblCellMar>
            <w:top w:w="0" w:type="dxa"/>
            <w:left w:w="108" w:type="dxa"/>
            <w:bottom w:w="0" w:type="dxa"/>
            <w:right w:w="108" w:type="dxa"/>
          </w:tblCellMar>
        </w:tblPrEx>
        <w:trPr>
          <w:jc w:val="center"/>
        </w:trPr>
        <w:tc>
          <w:tcPr>
            <w:tcW w:w="1440" w:type="dxa"/>
            <w:shd w:val="clear" w:color="auto" w:fill="102C57"/>
            <w:tcMar>
              <w:top w:w="50" w:type="dxa"/>
              <w:left w:w="50" w:type="dxa"/>
              <w:bottom w:w="50" w:type="dxa"/>
              <w:right w:w="50" w:type="dxa"/>
            </w:tcMar>
          </w:tcPr>
          <w:p w14:paraId="659F4CC3">
            <w:pPr>
              <w:spacing w:after="0"/>
            </w:pPr>
            <w:r>
              <w:rPr>
                <w:rFonts w:ascii="Calibri" w:hAnsi="Calibri"/>
                <w:b/>
                <w:color w:val="FFFFFF"/>
                <w:sz w:val="15"/>
              </w:rPr>
              <w:t>System / Tool</w:t>
            </w:r>
          </w:p>
        </w:tc>
        <w:tc>
          <w:tcPr>
            <w:tcW w:w="1008" w:type="dxa"/>
            <w:shd w:val="clear" w:color="auto" w:fill="102C57"/>
            <w:tcMar>
              <w:top w:w="50" w:type="dxa"/>
              <w:left w:w="50" w:type="dxa"/>
              <w:bottom w:w="50" w:type="dxa"/>
              <w:right w:w="50" w:type="dxa"/>
            </w:tcMar>
          </w:tcPr>
          <w:p w14:paraId="23E02059">
            <w:pPr>
              <w:spacing w:after="0"/>
            </w:pPr>
            <w:r>
              <w:rPr>
                <w:rFonts w:ascii="Calibri" w:hAnsi="Calibri"/>
                <w:b/>
                <w:color w:val="FFFFFF"/>
                <w:sz w:val="15"/>
              </w:rPr>
              <w:t>Automation (`build`, `deploy`)</w:t>
            </w:r>
          </w:p>
        </w:tc>
        <w:tc>
          <w:tcPr>
            <w:tcW w:w="1008" w:type="dxa"/>
            <w:shd w:val="clear" w:color="auto" w:fill="102C57"/>
            <w:tcMar>
              <w:top w:w="50" w:type="dxa"/>
              <w:left w:w="50" w:type="dxa"/>
              <w:bottom w:w="50" w:type="dxa"/>
              <w:right w:w="50" w:type="dxa"/>
            </w:tcMar>
          </w:tcPr>
          <w:p w14:paraId="5F3CE68D">
            <w:pPr>
              <w:spacing w:after="0"/>
            </w:pPr>
            <w:r>
              <w:rPr>
                <w:rFonts w:ascii="Calibri" w:hAnsi="Calibri"/>
                <w:b/>
                <w:color w:val="FFFFFF"/>
                <w:sz w:val="15"/>
              </w:rPr>
              <w:t>Monitoring (`monitor`)</w:t>
            </w:r>
          </w:p>
        </w:tc>
        <w:tc>
          <w:tcPr>
            <w:tcW w:w="1008" w:type="dxa"/>
            <w:shd w:val="clear" w:color="auto" w:fill="102C57"/>
            <w:tcMar>
              <w:top w:w="50" w:type="dxa"/>
              <w:left w:w="50" w:type="dxa"/>
              <w:bottom w:w="50" w:type="dxa"/>
              <w:right w:w="50" w:type="dxa"/>
            </w:tcMar>
          </w:tcPr>
          <w:p w14:paraId="0BDB1CA2">
            <w:pPr>
              <w:spacing w:after="0"/>
            </w:pPr>
            <w:r>
              <w:rPr>
                <w:rFonts w:ascii="Calibri" w:hAnsi="Calibri"/>
                <w:b/>
                <w:color w:val="FFFFFF"/>
                <w:sz w:val="15"/>
              </w:rPr>
              <w:t>Backup (`backup`, `restore`)</w:t>
            </w:r>
          </w:p>
        </w:tc>
        <w:tc>
          <w:tcPr>
            <w:tcW w:w="1008" w:type="dxa"/>
            <w:shd w:val="clear" w:color="auto" w:fill="102C57"/>
            <w:tcMar>
              <w:top w:w="50" w:type="dxa"/>
              <w:left w:w="50" w:type="dxa"/>
              <w:bottom w:w="50" w:type="dxa"/>
              <w:right w:w="50" w:type="dxa"/>
            </w:tcMar>
          </w:tcPr>
          <w:p w14:paraId="273ED451">
            <w:pPr>
              <w:spacing w:after="0"/>
            </w:pPr>
            <w:r>
              <w:rPr>
                <w:rFonts w:ascii="Calibri" w:hAnsi="Calibri"/>
                <w:b/>
                <w:color w:val="FFFFFF"/>
                <w:sz w:val="15"/>
              </w:rPr>
              <w:t>Process Supervision</w:t>
            </w:r>
          </w:p>
        </w:tc>
        <w:tc>
          <w:tcPr>
            <w:tcW w:w="1008" w:type="dxa"/>
            <w:shd w:val="clear" w:color="auto" w:fill="102C57"/>
            <w:tcMar>
              <w:top w:w="50" w:type="dxa"/>
              <w:left w:w="50" w:type="dxa"/>
              <w:bottom w:w="50" w:type="dxa"/>
              <w:right w:w="50" w:type="dxa"/>
            </w:tcMar>
          </w:tcPr>
          <w:p w14:paraId="25491ED1">
            <w:pPr>
              <w:spacing w:after="0"/>
            </w:pPr>
            <w:r>
              <w:rPr>
                <w:rFonts w:ascii="Calibri" w:hAnsi="Calibri"/>
                <w:b/>
                <w:color w:val="FFFFFF"/>
                <w:sz w:val="15"/>
              </w:rPr>
              <w:t>Security &amp; Validation</w:t>
            </w:r>
          </w:p>
        </w:tc>
        <w:tc>
          <w:tcPr>
            <w:tcW w:w="1008" w:type="dxa"/>
            <w:shd w:val="clear" w:color="auto" w:fill="102C57"/>
            <w:tcMar>
              <w:top w:w="50" w:type="dxa"/>
              <w:left w:w="50" w:type="dxa"/>
              <w:bottom w:w="50" w:type="dxa"/>
              <w:right w:w="50" w:type="dxa"/>
            </w:tcMar>
          </w:tcPr>
          <w:p w14:paraId="33F5C008">
            <w:pPr>
              <w:spacing w:after="0"/>
            </w:pPr>
            <w:r>
              <w:rPr>
                <w:rFonts w:ascii="Calibri" w:hAnsi="Calibri"/>
                <w:b/>
                <w:color w:val="FFFFFF"/>
                <w:sz w:val="15"/>
              </w:rPr>
              <w:t>Scheduling (`jobs`)</w:t>
            </w:r>
          </w:p>
        </w:tc>
        <w:tc>
          <w:tcPr>
            <w:tcW w:w="1008" w:type="dxa"/>
            <w:shd w:val="clear" w:color="auto" w:fill="102C57"/>
            <w:tcMar>
              <w:top w:w="50" w:type="dxa"/>
              <w:left w:w="50" w:type="dxa"/>
              <w:bottom w:w="50" w:type="dxa"/>
              <w:right w:w="50" w:type="dxa"/>
            </w:tcMar>
          </w:tcPr>
          <w:p w14:paraId="1DC3462B">
            <w:pPr>
              <w:spacing w:after="0"/>
            </w:pPr>
            <w:r>
              <w:rPr>
                <w:rFonts w:ascii="Calibri" w:hAnsi="Calibri"/>
                <w:b/>
                <w:color w:val="FFFFFF"/>
                <w:sz w:val="15"/>
              </w:rPr>
              <w:t>Audit Logging (`logs`)</w:t>
            </w:r>
          </w:p>
        </w:tc>
        <w:tc>
          <w:tcPr>
            <w:tcW w:w="864" w:type="dxa"/>
            <w:shd w:val="clear" w:color="auto" w:fill="102C57"/>
            <w:tcMar>
              <w:top w:w="50" w:type="dxa"/>
              <w:left w:w="50" w:type="dxa"/>
              <w:bottom w:w="50" w:type="dxa"/>
              <w:right w:w="50" w:type="dxa"/>
            </w:tcMar>
          </w:tcPr>
          <w:p w14:paraId="4149D0DD">
            <w:pPr>
              <w:spacing w:after="0"/>
            </w:pPr>
            <w:r>
              <w:rPr>
                <w:rFonts w:ascii="Calibri" w:hAnsi="Calibri"/>
                <w:b/>
                <w:color w:val="FFFFFF"/>
                <w:sz w:val="15"/>
              </w:rPr>
              <w:t>Unified CLI (`devshell&gt;`)</w:t>
            </w:r>
          </w:p>
        </w:tc>
      </w:tr>
      <w:tr w14:paraId="0A76E2FE">
        <w:tblPrEx>
          <w:tblCellMar>
            <w:top w:w="0" w:type="dxa"/>
            <w:left w:w="108" w:type="dxa"/>
            <w:bottom w:w="0" w:type="dxa"/>
            <w:right w:w="108" w:type="dxa"/>
          </w:tblCellMar>
        </w:tblPrEx>
        <w:trPr>
          <w:jc w:val="center"/>
        </w:trPr>
        <w:tc>
          <w:tcPr>
            <w:tcW w:w="1440" w:type="dxa"/>
            <w:shd w:val="clear" w:color="auto" w:fill="FFFFFF"/>
            <w:tcMar>
              <w:top w:w="50" w:type="dxa"/>
              <w:left w:w="50" w:type="dxa"/>
              <w:bottom w:w="50" w:type="dxa"/>
              <w:right w:w="50" w:type="dxa"/>
            </w:tcMar>
          </w:tcPr>
          <w:p w14:paraId="76067300">
            <w:pPr>
              <w:spacing w:after="0"/>
            </w:pPr>
            <w:r>
              <w:rPr>
                <w:rFonts w:ascii="Calibri" w:hAnsi="Calibri"/>
                <w:color w:val="2D3748"/>
                <w:sz w:val="15"/>
              </w:rPr>
              <w:t>Standard Shell (Bash/Zsh)</w:t>
            </w:r>
          </w:p>
        </w:tc>
        <w:tc>
          <w:tcPr>
            <w:tcW w:w="1008" w:type="dxa"/>
            <w:shd w:val="clear" w:color="auto" w:fill="FFFFFF"/>
            <w:tcMar>
              <w:top w:w="50" w:type="dxa"/>
              <w:left w:w="50" w:type="dxa"/>
              <w:bottom w:w="50" w:type="dxa"/>
              <w:right w:w="50" w:type="dxa"/>
            </w:tcMar>
          </w:tcPr>
          <w:p w14:paraId="416ABBD5">
            <w:pPr>
              <w:spacing w:after="0"/>
            </w:pPr>
            <w:r>
              <w:rPr>
                <w:rFonts w:ascii="Calibri" w:hAnsi="Calibri"/>
                <w:color w:val="2D3748"/>
                <w:sz w:val="15"/>
              </w:rPr>
              <w:t>Manual / Scripted</w:t>
            </w:r>
          </w:p>
        </w:tc>
        <w:tc>
          <w:tcPr>
            <w:tcW w:w="1008" w:type="dxa"/>
            <w:shd w:val="clear" w:color="auto" w:fill="FFFFFF"/>
            <w:tcMar>
              <w:top w:w="50" w:type="dxa"/>
              <w:left w:w="50" w:type="dxa"/>
              <w:bottom w:w="50" w:type="dxa"/>
              <w:right w:w="50" w:type="dxa"/>
            </w:tcMar>
          </w:tcPr>
          <w:p w14:paraId="2143508C">
            <w:pPr>
              <w:spacing w:after="0"/>
            </w:pPr>
            <w:r>
              <w:rPr>
                <w:rFonts w:ascii="Calibri" w:hAnsi="Calibri"/>
                <w:color w:val="2D3748"/>
                <w:sz w:val="15"/>
              </w:rPr>
              <w:t>External (`top`/`htop`)</w:t>
            </w:r>
          </w:p>
        </w:tc>
        <w:tc>
          <w:tcPr>
            <w:tcW w:w="1008" w:type="dxa"/>
            <w:shd w:val="clear" w:color="auto" w:fill="FFFFFF"/>
            <w:tcMar>
              <w:top w:w="50" w:type="dxa"/>
              <w:left w:w="50" w:type="dxa"/>
              <w:bottom w:w="50" w:type="dxa"/>
              <w:right w:w="50" w:type="dxa"/>
            </w:tcMar>
          </w:tcPr>
          <w:p w14:paraId="72017AFC">
            <w:pPr>
              <w:spacing w:after="0"/>
            </w:pPr>
            <w:r>
              <w:rPr>
                <w:rFonts w:ascii="Calibri" w:hAnsi="Calibri"/>
                <w:color w:val="2D3748"/>
                <w:sz w:val="15"/>
              </w:rPr>
              <w:t>External (`tar`/`rsync`)</w:t>
            </w:r>
          </w:p>
        </w:tc>
        <w:tc>
          <w:tcPr>
            <w:tcW w:w="1008" w:type="dxa"/>
            <w:shd w:val="clear" w:color="auto" w:fill="FFFFFF"/>
            <w:tcMar>
              <w:top w:w="50" w:type="dxa"/>
              <w:left w:w="50" w:type="dxa"/>
              <w:bottom w:w="50" w:type="dxa"/>
              <w:right w:w="50" w:type="dxa"/>
            </w:tcMar>
          </w:tcPr>
          <w:p w14:paraId="394C1BC9">
            <w:pPr>
              <w:spacing w:after="0"/>
            </w:pPr>
            <w:r>
              <w:rPr>
                <w:rFonts w:ascii="Calibri" w:hAnsi="Calibri"/>
                <w:color w:val="2D3748"/>
                <w:sz w:val="15"/>
              </w:rPr>
              <w:t>Native (`fork`/`exec`)</w:t>
            </w:r>
          </w:p>
        </w:tc>
        <w:tc>
          <w:tcPr>
            <w:tcW w:w="1008" w:type="dxa"/>
            <w:shd w:val="clear" w:color="auto" w:fill="FFFFFF"/>
            <w:tcMar>
              <w:top w:w="50" w:type="dxa"/>
              <w:left w:w="50" w:type="dxa"/>
              <w:bottom w:w="50" w:type="dxa"/>
              <w:right w:w="50" w:type="dxa"/>
            </w:tcMar>
          </w:tcPr>
          <w:p w14:paraId="708AC08F">
            <w:pPr>
              <w:spacing w:after="0"/>
            </w:pPr>
            <w:r>
              <w:rPr>
                <w:rFonts w:ascii="Calibri" w:hAnsi="Calibri"/>
                <w:color w:val="2D3748"/>
                <w:sz w:val="15"/>
              </w:rPr>
              <w:t>Basic POSIX permissions</w:t>
            </w:r>
          </w:p>
        </w:tc>
        <w:tc>
          <w:tcPr>
            <w:tcW w:w="1008" w:type="dxa"/>
            <w:shd w:val="clear" w:color="auto" w:fill="FFFFFF"/>
            <w:tcMar>
              <w:top w:w="50" w:type="dxa"/>
              <w:left w:w="50" w:type="dxa"/>
              <w:bottom w:w="50" w:type="dxa"/>
              <w:right w:w="50" w:type="dxa"/>
            </w:tcMar>
          </w:tcPr>
          <w:p w14:paraId="57025CDD">
            <w:pPr>
              <w:spacing w:after="0"/>
            </w:pPr>
            <w:r>
              <w:rPr>
                <w:rFonts w:ascii="Calibri" w:hAnsi="Calibri"/>
                <w:color w:val="2D3748"/>
                <w:sz w:val="15"/>
              </w:rPr>
              <w:t>External (`cron`/`at`)</w:t>
            </w:r>
          </w:p>
        </w:tc>
        <w:tc>
          <w:tcPr>
            <w:tcW w:w="1008" w:type="dxa"/>
            <w:shd w:val="clear" w:color="auto" w:fill="FFFFFF"/>
            <w:tcMar>
              <w:top w:w="50" w:type="dxa"/>
              <w:left w:w="50" w:type="dxa"/>
              <w:bottom w:w="50" w:type="dxa"/>
              <w:right w:w="50" w:type="dxa"/>
            </w:tcMar>
          </w:tcPr>
          <w:p w14:paraId="15AD2EDB">
            <w:pPr>
              <w:spacing w:after="0"/>
            </w:pPr>
            <w:r>
              <w:rPr>
                <w:rFonts w:ascii="Calibri" w:hAnsi="Calibri"/>
                <w:color w:val="2D3748"/>
                <w:sz w:val="15"/>
              </w:rPr>
              <w:t>Tamperable `.bash_history`</w:t>
            </w:r>
          </w:p>
        </w:tc>
        <w:tc>
          <w:tcPr>
            <w:tcW w:w="864" w:type="dxa"/>
            <w:shd w:val="clear" w:color="auto" w:fill="FFFFFF"/>
            <w:tcMar>
              <w:top w:w="50" w:type="dxa"/>
              <w:left w:w="50" w:type="dxa"/>
              <w:bottom w:w="50" w:type="dxa"/>
              <w:right w:w="50" w:type="dxa"/>
            </w:tcMar>
          </w:tcPr>
          <w:p w14:paraId="181612E9">
            <w:pPr>
              <w:spacing w:after="0"/>
            </w:pPr>
            <w:r>
              <w:rPr>
                <w:rFonts w:ascii="Calibri" w:hAnsi="Calibri"/>
                <w:color w:val="2D3748"/>
                <w:sz w:val="15"/>
              </w:rPr>
              <w:t>No (Generic shell)</w:t>
            </w:r>
          </w:p>
        </w:tc>
      </w:tr>
      <w:tr w14:paraId="5A987895">
        <w:tblPrEx>
          <w:tblCellMar>
            <w:top w:w="0" w:type="dxa"/>
            <w:left w:w="108" w:type="dxa"/>
            <w:bottom w:w="0" w:type="dxa"/>
            <w:right w:w="108" w:type="dxa"/>
          </w:tblCellMar>
        </w:tblPrEx>
        <w:trPr>
          <w:jc w:val="center"/>
        </w:trPr>
        <w:tc>
          <w:tcPr>
            <w:tcW w:w="1440" w:type="dxa"/>
            <w:shd w:val="clear" w:color="auto" w:fill="F2F5F9"/>
            <w:tcMar>
              <w:top w:w="50" w:type="dxa"/>
              <w:left w:w="50" w:type="dxa"/>
              <w:bottom w:w="50" w:type="dxa"/>
              <w:right w:w="50" w:type="dxa"/>
            </w:tcMar>
          </w:tcPr>
          <w:p w14:paraId="7D88EDE3">
            <w:pPr>
              <w:spacing w:after="0"/>
            </w:pPr>
            <w:r>
              <w:rPr>
                <w:rFonts w:ascii="Calibri" w:hAnsi="Calibri"/>
                <w:color w:val="2D3748"/>
                <w:sz w:val="15"/>
              </w:rPr>
              <w:t>CI/CD (Jenkins/GitHub Actions)</w:t>
            </w:r>
          </w:p>
        </w:tc>
        <w:tc>
          <w:tcPr>
            <w:tcW w:w="1008" w:type="dxa"/>
            <w:shd w:val="clear" w:color="auto" w:fill="F2F5F9"/>
            <w:tcMar>
              <w:top w:w="50" w:type="dxa"/>
              <w:left w:w="50" w:type="dxa"/>
              <w:bottom w:w="50" w:type="dxa"/>
              <w:right w:w="50" w:type="dxa"/>
            </w:tcMar>
          </w:tcPr>
          <w:p w14:paraId="7A2416DF">
            <w:pPr>
              <w:spacing w:after="0"/>
            </w:pPr>
            <w:r>
              <w:rPr>
                <w:rFonts w:ascii="Calibri" w:hAnsi="Calibri"/>
                <w:color w:val="2D3748"/>
                <w:sz w:val="15"/>
              </w:rPr>
              <w:t>Full (Cloud YAML)</w:t>
            </w:r>
          </w:p>
        </w:tc>
        <w:tc>
          <w:tcPr>
            <w:tcW w:w="1008" w:type="dxa"/>
            <w:shd w:val="clear" w:color="auto" w:fill="F2F5F9"/>
            <w:tcMar>
              <w:top w:w="50" w:type="dxa"/>
              <w:left w:w="50" w:type="dxa"/>
              <w:bottom w:w="50" w:type="dxa"/>
              <w:right w:w="50" w:type="dxa"/>
            </w:tcMar>
          </w:tcPr>
          <w:p w14:paraId="40E57A77">
            <w:pPr>
              <w:spacing w:after="0"/>
            </w:pPr>
            <w:r>
              <w:rPr>
                <w:rFonts w:ascii="Calibri" w:hAnsi="Calibri"/>
                <w:color w:val="2D3748"/>
                <w:sz w:val="15"/>
              </w:rPr>
              <w:t>Web Dashboard only</w:t>
            </w:r>
          </w:p>
        </w:tc>
        <w:tc>
          <w:tcPr>
            <w:tcW w:w="1008" w:type="dxa"/>
            <w:shd w:val="clear" w:color="auto" w:fill="F2F5F9"/>
            <w:tcMar>
              <w:top w:w="50" w:type="dxa"/>
              <w:left w:w="50" w:type="dxa"/>
              <w:bottom w:w="50" w:type="dxa"/>
              <w:right w:w="50" w:type="dxa"/>
            </w:tcMar>
          </w:tcPr>
          <w:p w14:paraId="69ADC8C0">
            <w:pPr>
              <w:spacing w:after="0"/>
            </w:pPr>
            <w:r>
              <w:rPr>
                <w:rFonts w:ascii="Calibri" w:hAnsi="Calibri"/>
                <w:color w:val="2D3748"/>
                <w:sz w:val="15"/>
              </w:rPr>
              <w:t>Plugin-dependent</w:t>
            </w:r>
          </w:p>
        </w:tc>
        <w:tc>
          <w:tcPr>
            <w:tcW w:w="1008" w:type="dxa"/>
            <w:shd w:val="clear" w:color="auto" w:fill="F2F5F9"/>
            <w:tcMar>
              <w:top w:w="50" w:type="dxa"/>
              <w:left w:w="50" w:type="dxa"/>
              <w:bottom w:w="50" w:type="dxa"/>
              <w:right w:w="50" w:type="dxa"/>
            </w:tcMar>
          </w:tcPr>
          <w:p w14:paraId="06E3F8BF">
            <w:pPr>
              <w:spacing w:after="0"/>
            </w:pPr>
            <w:r>
              <w:rPr>
                <w:rFonts w:ascii="Calibri" w:hAnsi="Calibri"/>
                <w:color w:val="2D3748"/>
                <w:sz w:val="15"/>
              </w:rPr>
              <w:t>Container-isolated</w:t>
            </w:r>
          </w:p>
        </w:tc>
        <w:tc>
          <w:tcPr>
            <w:tcW w:w="1008" w:type="dxa"/>
            <w:shd w:val="clear" w:color="auto" w:fill="F2F5F9"/>
            <w:tcMar>
              <w:top w:w="50" w:type="dxa"/>
              <w:left w:w="50" w:type="dxa"/>
              <w:bottom w:w="50" w:type="dxa"/>
              <w:right w:w="50" w:type="dxa"/>
            </w:tcMar>
          </w:tcPr>
          <w:p w14:paraId="5DB2DB77">
            <w:pPr>
              <w:spacing w:after="0"/>
            </w:pPr>
            <w:r>
              <w:rPr>
                <w:rFonts w:ascii="Calibri" w:hAnsi="Calibri"/>
                <w:color w:val="2D3748"/>
                <w:sz w:val="15"/>
              </w:rPr>
              <w:t>Cloud RBAC</w:t>
            </w:r>
          </w:p>
        </w:tc>
        <w:tc>
          <w:tcPr>
            <w:tcW w:w="1008" w:type="dxa"/>
            <w:shd w:val="clear" w:color="auto" w:fill="F2F5F9"/>
            <w:tcMar>
              <w:top w:w="50" w:type="dxa"/>
              <w:left w:w="50" w:type="dxa"/>
              <w:bottom w:w="50" w:type="dxa"/>
              <w:right w:w="50" w:type="dxa"/>
            </w:tcMar>
          </w:tcPr>
          <w:p w14:paraId="23F99DE9">
            <w:pPr>
              <w:spacing w:after="0"/>
            </w:pPr>
            <w:r>
              <w:rPr>
                <w:rFonts w:ascii="Calibri" w:hAnsi="Calibri"/>
                <w:color w:val="2D3748"/>
                <w:sz w:val="15"/>
              </w:rPr>
              <w:t>Pipeline triggers</w:t>
            </w:r>
          </w:p>
        </w:tc>
        <w:tc>
          <w:tcPr>
            <w:tcW w:w="1008" w:type="dxa"/>
            <w:shd w:val="clear" w:color="auto" w:fill="F2F5F9"/>
            <w:tcMar>
              <w:top w:w="50" w:type="dxa"/>
              <w:left w:w="50" w:type="dxa"/>
              <w:bottom w:w="50" w:type="dxa"/>
              <w:right w:w="50" w:type="dxa"/>
            </w:tcMar>
          </w:tcPr>
          <w:p w14:paraId="3E7CD739">
            <w:pPr>
              <w:spacing w:after="0"/>
            </w:pPr>
            <w:r>
              <w:rPr>
                <w:rFonts w:ascii="Calibri" w:hAnsi="Calibri"/>
                <w:color w:val="2D3748"/>
                <w:sz w:val="15"/>
              </w:rPr>
              <w:t>Centralized server logs</w:t>
            </w:r>
          </w:p>
        </w:tc>
        <w:tc>
          <w:tcPr>
            <w:tcW w:w="864" w:type="dxa"/>
            <w:shd w:val="clear" w:color="auto" w:fill="F2F5F9"/>
            <w:tcMar>
              <w:top w:w="50" w:type="dxa"/>
              <w:left w:w="50" w:type="dxa"/>
              <w:bottom w:w="50" w:type="dxa"/>
              <w:right w:w="50" w:type="dxa"/>
            </w:tcMar>
          </w:tcPr>
          <w:p w14:paraId="0B3CC532">
            <w:pPr>
              <w:spacing w:after="0"/>
            </w:pPr>
            <w:r>
              <w:rPr>
                <w:rFonts w:ascii="Calibri" w:hAnsi="Calibri"/>
                <w:color w:val="2D3748"/>
                <w:sz w:val="15"/>
              </w:rPr>
              <w:t>No (Web/YAML runner)</w:t>
            </w:r>
          </w:p>
        </w:tc>
      </w:tr>
      <w:tr w14:paraId="5E528B08">
        <w:tblPrEx>
          <w:tblCellMar>
            <w:top w:w="0" w:type="dxa"/>
            <w:left w:w="108" w:type="dxa"/>
            <w:bottom w:w="0" w:type="dxa"/>
            <w:right w:w="108" w:type="dxa"/>
          </w:tblCellMar>
        </w:tblPrEx>
        <w:trPr>
          <w:jc w:val="center"/>
        </w:trPr>
        <w:tc>
          <w:tcPr>
            <w:tcW w:w="1440" w:type="dxa"/>
            <w:shd w:val="clear" w:color="auto" w:fill="FFFFFF"/>
            <w:tcMar>
              <w:top w:w="50" w:type="dxa"/>
              <w:left w:w="50" w:type="dxa"/>
              <w:bottom w:w="50" w:type="dxa"/>
              <w:right w:w="50" w:type="dxa"/>
            </w:tcMar>
          </w:tcPr>
          <w:p w14:paraId="3F9D2398">
            <w:pPr>
              <w:spacing w:after="0"/>
            </w:pPr>
            <w:r>
              <w:rPr>
                <w:rFonts w:ascii="Calibri" w:hAnsi="Calibri"/>
                <w:color w:val="2D3748"/>
                <w:sz w:val="15"/>
              </w:rPr>
              <w:t>Config Tools (Ansible/Puppet)</w:t>
            </w:r>
          </w:p>
        </w:tc>
        <w:tc>
          <w:tcPr>
            <w:tcW w:w="1008" w:type="dxa"/>
            <w:shd w:val="clear" w:color="auto" w:fill="FFFFFF"/>
            <w:tcMar>
              <w:top w:w="50" w:type="dxa"/>
              <w:left w:w="50" w:type="dxa"/>
              <w:bottom w:w="50" w:type="dxa"/>
              <w:right w:w="50" w:type="dxa"/>
            </w:tcMar>
          </w:tcPr>
          <w:p w14:paraId="7D42D478">
            <w:pPr>
              <w:spacing w:after="0"/>
            </w:pPr>
            <w:r>
              <w:rPr>
                <w:rFonts w:ascii="Calibri" w:hAnsi="Calibri"/>
                <w:color w:val="2D3748"/>
                <w:sz w:val="15"/>
              </w:rPr>
              <w:t>Playbook execution</w:t>
            </w:r>
          </w:p>
        </w:tc>
        <w:tc>
          <w:tcPr>
            <w:tcW w:w="1008" w:type="dxa"/>
            <w:shd w:val="clear" w:color="auto" w:fill="FFFFFF"/>
            <w:tcMar>
              <w:top w:w="50" w:type="dxa"/>
              <w:left w:w="50" w:type="dxa"/>
              <w:bottom w:w="50" w:type="dxa"/>
              <w:right w:w="50" w:type="dxa"/>
            </w:tcMar>
          </w:tcPr>
          <w:p w14:paraId="7D866C95">
            <w:pPr>
              <w:spacing w:after="0"/>
            </w:pPr>
            <w:r>
              <w:rPr>
                <w:rFonts w:ascii="Calibri" w:hAnsi="Calibri"/>
                <w:color w:val="2D3748"/>
                <w:sz w:val="15"/>
              </w:rPr>
              <w:t>Limited status checks</w:t>
            </w:r>
          </w:p>
        </w:tc>
        <w:tc>
          <w:tcPr>
            <w:tcW w:w="1008" w:type="dxa"/>
            <w:shd w:val="clear" w:color="auto" w:fill="FFFFFF"/>
            <w:tcMar>
              <w:top w:w="50" w:type="dxa"/>
              <w:left w:w="50" w:type="dxa"/>
              <w:bottom w:w="50" w:type="dxa"/>
              <w:right w:w="50" w:type="dxa"/>
            </w:tcMar>
          </w:tcPr>
          <w:p w14:paraId="76796B3C">
            <w:pPr>
              <w:spacing w:after="0"/>
            </w:pPr>
            <w:r>
              <w:rPr>
                <w:rFonts w:ascii="Calibri" w:hAnsi="Calibri"/>
                <w:color w:val="2D3748"/>
                <w:sz w:val="15"/>
              </w:rPr>
              <w:t>Scripted tasks</w:t>
            </w:r>
          </w:p>
        </w:tc>
        <w:tc>
          <w:tcPr>
            <w:tcW w:w="1008" w:type="dxa"/>
            <w:shd w:val="clear" w:color="auto" w:fill="FFFFFF"/>
            <w:tcMar>
              <w:top w:w="50" w:type="dxa"/>
              <w:left w:w="50" w:type="dxa"/>
              <w:bottom w:w="50" w:type="dxa"/>
              <w:right w:w="50" w:type="dxa"/>
            </w:tcMar>
          </w:tcPr>
          <w:p w14:paraId="2980B253">
            <w:pPr>
              <w:spacing w:after="0"/>
            </w:pPr>
            <w:r>
              <w:rPr>
                <w:rFonts w:ascii="Calibri" w:hAnsi="Calibri"/>
                <w:color w:val="2D3748"/>
                <w:sz w:val="15"/>
              </w:rPr>
              <w:t>Agent-managed</w:t>
            </w:r>
          </w:p>
        </w:tc>
        <w:tc>
          <w:tcPr>
            <w:tcW w:w="1008" w:type="dxa"/>
            <w:shd w:val="clear" w:color="auto" w:fill="FFFFFF"/>
            <w:tcMar>
              <w:top w:w="50" w:type="dxa"/>
              <w:left w:w="50" w:type="dxa"/>
              <w:bottom w:w="50" w:type="dxa"/>
              <w:right w:w="50" w:type="dxa"/>
            </w:tcMar>
          </w:tcPr>
          <w:p w14:paraId="08A19669">
            <w:pPr>
              <w:spacing w:after="0"/>
            </w:pPr>
            <w:r>
              <w:rPr>
                <w:rFonts w:ascii="Calibri" w:hAnsi="Calibri"/>
                <w:color w:val="2D3748"/>
                <w:sz w:val="15"/>
              </w:rPr>
              <w:t>SSH key / Sudo gating</w:t>
            </w:r>
          </w:p>
        </w:tc>
        <w:tc>
          <w:tcPr>
            <w:tcW w:w="1008" w:type="dxa"/>
            <w:shd w:val="clear" w:color="auto" w:fill="FFFFFF"/>
            <w:tcMar>
              <w:top w:w="50" w:type="dxa"/>
              <w:left w:w="50" w:type="dxa"/>
              <w:bottom w:w="50" w:type="dxa"/>
              <w:right w:w="50" w:type="dxa"/>
            </w:tcMar>
          </w:tcPr>
          <w:p w14:paraId="525388B1">
            <w:pPr>
              <w:spacing w:after="0"/>
            </w:pPr>
            <w:r>
              <w:rPr>
                <w:rFonts w:ascii="Calibri" w:hAnsi="Calibri"/>
                <w:color w:val="2D3748"/>
                <w:sz w:val="15"/>
              </w:rPr>
              <w:t>Scheduled runs</w:t>
            </w:r>
          </w:p>
        </w:tc>
        <w:tc>
          <w:tcPr>
            <w:tcW w:w="1008" w:type="dxa"/>
            <w:shd w:val="clear" w:color="auto" w:fill="FFFFFF"/>
            <w:tcMar>
              <w:top w:w="50" w:type="dxa"/>
              <w:left w:w="50" w:type="dxa"/>
              <w:bottom w:w="50" w:type="dxa"/>
              <w:right w:w="50" w:type="dxa"/>
            </w:tcMar>
          </w:tcPr>
          <w:p w14:paraId="680E267D">
            <w:pPr>
              <w:spacing w:after="0"/>
            </w:pPr>
            <w:r>
              <w:rPr>
                <w:rFonts w:ascii="Calibri" w:hAnsi="Calibri"/>
                <w:color w:val="2D3748"/>
                <w:sz w:val="15"/>
              </w:rPr>
              <w:t>Execution summary logs</w:t>
            </w:r>
          </w:p>
        </w:tc>
        <w:tc>
          <w:tcPr>
            <w:tcW w:w="864" w:type="dxa"/>
            <w:shd w:val="clear" w:color="auto" w:fill="FFFFFF"/>
            <w:tcMar>
              <w:top w:w="50" w:type="dxa"/>
              <w:left w:w="50" w:type="dxa"/>
              <w:bottom w:w="50" w:type="dxa"/>
              <w:right w:w="50" w:type="dxa"/>
            </w:tcMar>
          </w:tcPr>
          <w:p w14:paraId="524BEAF0">
            <w:pPr>
              <w:spacing w:after="0"/>
            </w:pPr>
            <w:r>
              <w:rPr>
                <w:rFonts w:ascii="Calibri" w:hAnsi="Calibri"/>
                <w:color w:val="2D3748"/>
                <w:sz w:val="15"/>
              </w:rPr>
              <w:t>No (Headless CLI)</w:t>
            </w:r>
          </w:p>
        </w:tc>
      </w:tr>
      <w:tr w14:paraId="5AA2E5DB">
        <w:tblPrEx>
          <w:tblCellMar>
            <w:top w:w="0" w:type="dxa"/>
            <w:left w:w="108" w:type="dxa"/>
            <w:bottom w:w="0" w:type="dxa"/>
            <w:right w:w="108" w:type="dxa"/>
          </w:tblCellMar>
        </w:tblPrEx>
        <w:trPr>
          <w:jc w:val="center"/>
        </w:trPr>
        <w:tc>
          <w:tcPr>
            <w:tcW w:w="1440" w:type="dxa"/>
            <w:shd w:val="clear" w:color="auto" w:fill="F2F5F9"/>
            <w:tcMar>
              <w:top w:w="50" w:type="dxa"/>
              <w:left w:w="50" w:type="dxa"/>
              <w:bottom w:w="50" w:type="dxa"/>
              <w:right w:w="50" w:type="dxa"/>
            </w:tcMar>
          </w:tcPr>
          <w:p w14:paraId="5CCAC290">
            <w:pPr>
              <w:spacing w:after="0"/>
            </w:pPr>
            <w:r>
              <w:rPr>
                <w:rFonts w:ascii="Calibri" w:hAnsi="Calibri"/>
                <w:color w:val="2D3748"/>
                <w:sz w:val="15"/>
              </w:rPr>
              <w:t>Monitoring (Prometheus/Sysstat)</w:t>
            </w:r>
          </w:p>
        </w:tc>
        <w:tc>
          <w:tcPr>
            <w:tcW w:w="1008" w:type="dxa"/>
            <w:shd w:val="clear" w:color="auto" w:fill="F2F5F9"/>
            <w:tcMar>
              <w:top w:w="50" w:type="dxa"/>
              <w:left w:w="50" w:type="dxa"/>
              <w:bottom w:w="50" w:type="dxa"/>
              <w:right w:w="50" w:type="dxa"/>
            </w:tcMar>
          </w:tcPr>
          <w:p w14:paraId="23A0353E">
            <w:pPr>
              <w:spacing w:after="0"/>
            </w:pPr>
            <w:r>
              <w:rPr>
                <w:rFonts w:ascii="Calibri" w:hAnsi="Calibri"/>
                <w:color w:val="2D3748"/>
                <w:sz w:val="15"/>
              </w:rPr>
              <w:t>None</w:t>
            </w:r>
          </w:p>
        </w:tc>
        <w:tc>
          <w:tcPr>
            <w:tcW w:w="1008" w:type="dxa"/>
            <w:shd w:val="clear" w:color="auto" w:fill="F2F5F9"/>
            <w:tcMar>
              <w:top w:w="50" w:type="dxa"/>
              <w:left w:w="50" w:type="dxa"/>
              <w:bottom w:w="50" w:type="dxa"/>
              <w:right w:w="50" w:type="dxa"/>
            </w:tcMar>
          </w:tcPr>
          <w:p w14:paraId="29B746F2">
            <w:pPr>
              <w:spacing w:after="0"/>
            </w:pPr>
            <w:r>
              <w:rPr>
                <w:rFonts w:ascii="Calibri" w:hAnsi="Calibri"/>
                <w:color w:val="2D3748"/>
                <w:sz w:val="15"/>
              </w:rPr>
              <w:t>Full Metrics (Heavy)</w:t>
            </w:r>
          </w:p>
        </w:tc>
        <w:tc>
          <w:tcPr>
            <w:tcW w:w="1008" w:type="dxa"/>
            <w:shd w:val="clear" w:color="auto" w:fill="F2F5F9"/>
            <w:tcMar>
              <w:top w:w="50" w:type="dxa"/>
              <w:left w:w="50" w:type="dxa"/>
              <w:bottom w:w="50" w:type="dxa"/>
              <w:right w:w="50" w:type="dxa"/>
            </w:tcMar>
          </w:tcPr>
          <w:p w14:paraId="7B395214">
            <w:pPr>
              <w:spacing w:after="0"/>
            </w:pPr>
            <w:r>
              <w:rPr>
                <w:rFonts w:ascii="Calibri" w:hAnsi="Calibri"/>
                <w:color w:val="2D3748"/>
                <w:sz w:val="15"/>
              </w:rPr>
              <w:t>None</w:t>
            </w:r>
          </w:p>
        </w:tc>
        <w:tc>
          <w:tcPr>
            <w:tcW w:w="1008" w:type="dxa"/>
            <w:shd w:val="clear" w:color="auto" w:fill="F2F5F9"/>
            <w:tcMar>
              <w:top w:w="50" w:type="dxa"/>
              <w:left w:w="50" w:type="dxa"/>
              <w:bottom w:w="50" w:type="dxa"/>
              <w:right w:w="50" w:type="dxa"/>
            </w:tcMar>
          </w:tcPr>
          <w:p w14:paraId="1FA536DF">
            <w:pPr>
              <w:spacing w:after="0"/>
            </w:pPr>
            <w:r>
              <w:rPr>
                <w:rFonts w:ascii="Calibri" w:hAnsi="Calibri"/>
                <w:color w:val="2D3748"/>
                <w:sz w:val="15"/>
              </w:rPr>
              <w:t>Daemon-only</w:t>
            </w:r>
          </w:p>
        </w:tc>
        <w:tc>
          <w:tcPr>
            <w:tcW w:w="1008" w:type="dxa"/>
            <w:shd w:val="clear" w:color="auto" w:fill="F2F5F9"/>
            <w:tcMar>
              <w:top w:w="50" w:type="dxa"/>
              <w:left w:w="50" w:type="dxa"/>
              <w:bottom w:w="50" w:type="dxa"/>
              <w:right w:w="50" w:type="dxa"/>
            </w:tcMar>
          </w:tcPr>
          <w:p w14:paraId="30CD4DC9">
            <w:pPr>
              <w:spacing w:after="0"/>
            </w:pPr>
            <w:r>
              <w:rPr>
                <w:rFonts w:ascii="Calibri" w:hAnsi="Calibri"/>
                <w:color w:val="2D3748"/>
                <w:sz w:val="15"/>
              </w:rPr>
              <w:t>Metric access controls</w:t>
            </w:r>
          </w:p>
        </w:tc>
        <w:tc>
          <w:tcPr>
            <w:tcW w:w="1008" w:type="dxa"/>
            <w:shd w:val="clear" w:color="auto" w:fill="F2F5F9"/>
            <w:tcMar>
              <w:top w:w="50" w:type="dxa"/>
              <w:left w:w="50" w:type="dxa"/>
              <w:bottom w:w="50" w:type="dxa"/>
              <w:right w:w="50" w:type="dxa"/>
            </w:tcMar>
          </w:tcPr>
          <w:p w14:paraId="2BAAE92F">
            <w:pPr>
              <w:spacing w:after="0"/>
            </w:pPr>
            <w:r>
              <w:rPr>
                <w:rFonts w:ascii="Calibri" w:hAnsi="Calibri"/>
                <w:color w:val="2D3748"/>
                <w:sz w:val="15"/>
              </w:rPr>
              <w:t>Interval scraping</w:t>
            </w:r>
          </w:p>
        </w:tc>
        <w:tc>
          <w:tcPr>
            <w:tcW w:w="1008" w:type="dxa"/>
            <w:shd w:val="clear" w:color="auto" w:fill="F2F5F9"/>
            <w:tcMar>
              <w:top w:w="50" w:type="dxa"/>
              <w:left w:w="50" w:type="dxa"/>
              <w:bottom w:w="50" w:type="dxa"/>
              <w:right w:w="50" w:type="dxa"/>
            </w:tcMar>
          </w:tcPr>
          <w:p w14:paraId="2DA76E38">
            <w:pPr>
              <w:spacing w:after="0"/>
            </w:pPr>
            <w:r>
              <w:rPr>
                <w:rFonts w:ascii="Calibri" w:hAnsi="Calibri"/>
                <w:color w:val="2D3748"/>
                <w:sz w:val="15"/>
              </w:rPr>
              <w:t>Daemon event logs</w:t>
            </w:r>
          </w:p>
        </w:tc>
        <w:tc>
          <w:tcPr>
            <w:tcW w:w="864" w:type="dxa"/>
            <w:shd w:val="clear" w:color="auto" w:fill="F2F5F9"/>
            <w:tcMar>
              <w:top w:w="50" w:type="dxa"/>
              <w:left w:w="50" w:type="dxa"/>
              <w:bottom w:w="50" w:type="dxa"/>
              <w:right w:w="50" w:type="dxa"/>
            </w:tcMar>
          </w:tcPr>
          <w:p w14:paraId="1D157E77">
            <w:pPr>
              <w:spacing w:after="0"/>
            </w:pPr>
            <w:r>
              <w:rPr>
                <w:rFonts w:ascii="Calibri" w:hAnsi="Calibri"/>
                <w:color w:val="2D3748"/>
                <w:sz w:val="15"/>
              </w:rPr>
              <w:t>No (Telemetry daemon)</w:t>
            </w:r>
          </w:p>
        </w:tc>
      </w:tr>
      <w:tr w14:paraId="647BA95B">
        <w:tblPrEx>
          <w:tblCellMar>
            <w:top w:w="0" w:type="dxa"/>
            <w:left w:w="108" w:type="dxa"/>
            <w:bottom w:w="0" w:type="dxa"/>
            <w:right w:w="108" w:type="dxa"/>
          </w:tblCellMar>
        </w:tblPrEx>
        <w:trPr>
          <w:jc w:val="center"/>
        </w:trPr>
        <w:tc>
          <w:tcPr>
            <w:tcW w:w="1440" w:type="dxa"/>
            <w:shd w:val="clear" w:color="auto" w:fill="FFFFFF"/>
            <w:tcMar>
              <w:top w:w="50" w:type="dxa"/>
              <w:left w:w="50" w:type="dxa"/>
              <w:bottom w:w="50" w:type="dxa"/>
              <w:right w:w="50" w:type="dxa"/>
            </w:tcMar>
          </w:tcPr>
          <w:p w14:paraId="7F683AA0">
            <w:pPr>
              <w:spacing w:after="0"/>
            </w:pPr>
            <w:r>
              <w:rPr>
                <w:rFonts w:ascii="Calibri" w:hAnsi="Calibri"/>
                <w:color w:val="2D3748"/>
                <w:sz w:val="15"/>
              </w:rPr>
              <w:t>Linux Auditd (`auditd`)</w:t>
            </w:r>
          </w:p>
        </w:tc>
        <w:tc>
          <w:tcPr>
            <w:tcW w:w="1008" w:type="dxa"/>
            <w:shd w:val="clear" w:color="auto" w:fill="FFFFFF"/>
            <w:tcMar>
              <w:top w:w="50" w:type="dxa"/>
              <w:left w:w="50" w:type="dxa"/>
              <w:bottom w:w="50" w:type="dxa"/>
              <w:right w:w="50" w:type="dxa"/>
            </w:tcMar>
          </w:tcPr>
          <w:p w14:paraId="4DD9BA5C">
            <w:pPr>
              <w:spacing w:after="0"/>
            </w:pPr>
            <w:r>
              <w:rPr>
                <w:rFonts w:ascii="Calibri" w:hAnsi="Calibri"/>
                <w:color w:val="2D3748"/>
                <w:sz w:val="15"/>
              </w:rPr>
              <w:t>None</w:t>
            </w:r>
          </w:p>
        </w:tc>
        <w:tc>
          <w:tcPr>
            <w:tcW w:w="1008" w:type="dxa"/>
            <w:shd w:val="clear" w:color="auto" w:fill="FFFFFF"/>
            <w:tcMar>
              <w:top w:w="50" w:type="dxa"/>
              <w:left w:w="50" w:type="dxa"/>
              <w:bottom w:w="50" w:type="dxa"/>
              <w:right w:w="50" w:type="dxa"/>
            </w:tcMar>
          </w:tcPr>
          <w:p w14:paraId="2A955462">
            <w:pPr>
              <w:spacing w:after="0"/>
            </w:pPr>
            <w:r>
              <w:rPr>
                <w:rFonts w:ascii="Calibri" w:hAnsi="Calibri"/>
                <w:color w:val="2D3748"/>
                <w:sz w:val="15"/>
              </w:rPr>
              <w:t>Syscall Interception</w:t>
            </w:r>
          </w:p>
        </w:tc>
        <w:tc>
          <w:tcPr>
            <w:tcW w:w="1008" w:type="dxa"/>
            <w:shd w:val="clear" w:color="auto" w:fill="FFFFFF"/>
            <w:tcMar>
              <w:top w:w="50" w:type="dxa"/>
              <w:left w:w="50" w:type="dxa"/>
              <w:bottom w:w="50" w:type="dxa"/>
              <w:right w:w="50" w:type="dxa"/>
            </w:tcMar>
          </w:tcPr>
          <w:p w14:paraId="074F34BD">
            <w:pPr>
              <w:spacing w:after="0"/>
            </w:pPr>
            <w:r>
              <w:rPr>
                <w:rFonts w:ascii="Calibri" w:hAnsi="Calibri"/>
                <w:color w:val="2D3748"/>
                <w:sz w:val="15"/>
              </w:rPr>
              <w:t>None</w:t>
            </w:r>
          </w:p>
        </w:tc>
        <w:tc>
          <w:tcPr>
            <w:tcW w:w="1008" w:type="dxa"/>
            <w:shd w:val="clear" w:color="auto" w:fill="FFFFFF"/>
            <w:tcMar>
              <w:top w:w="50" w:type="dxa"/>
              <w:left w:w="50" w:type="dxa"/>
              <w:bottom w:w="50" w:type="dxa"/>
              <w:right w:w="50" w:type="dxa"/>
            </w:tcMar>
          </w:tcPr>
          <w:p w14:paraId="5064A5B1">
            <w:pPr>
              <w:spacing w:after="0"/>
            </w:pPr>
            <w:r>
              <w:rPr>
                <w:rFonts w:ascii="Calibri" w:hAnsi="Calibri"/>
                <w:color w:val="2D3748"/>
                <w:sz w:val="15"/>
              </w:rPr>
              <w:t>Kernel hooks</w:t>
            </w:r>
          </w:p>
        </w:tc>
        <w:tc>
          <w:tcPr>
            <w:tcW w:w="1008" w:type="dxa"/>
            <w:shd w:val="clear" w:color="auto" w:fill="FFFFFF"/>
            <w:tcMar>
              <w:top w:w="50" w:type="dxa"/>
              <w:left w:w="50" w:type="dxa"/>
              <w:bottom w:w="50" w:type="dxa"/>
              <w:right w:w="50" w:type="dxa"/>
            </w:tcMar>
          </w:tcPr>
          <w:p w14:paraId="627AD78B">
            <w:pPr>
              <w:spacing w:after="0"/>
            </w:pPr>
            <w:r>
              <w:rPr>
                <w:rFonts w:ascii="Calibri" w:hAnsi="Calibri"/>
                <w:color w:val="2D3748"/>
                <w:sz w:val="15"/>
              </w:rPr>
              <w:t>Kernel-level rules</w:t>
            </w:r>
          </w:p>
        </w:tc>
        <w:tc>
          <w:tcPr>
            <w:tcW w:w="1008" w:type="dxa"/>
            <w:shd w:val="clear" w:color="auto" w:fill="FFFFFF"/>
            <w:tcMar>
              <w:top w:w="50" w:type="dxa"/>
              <w:left w:w="50" w:type="dxa"/>
              <w:bottom w:w="50" w:type="dxa"/>
              <w:right w:w="50" w:type="dxa"/>
            </w:tcMar>
          </w:tcPr>
          <w:p w14:paraId="51697734">
            <w:pPr>
              <w:spacing w:after="0"/>
            </w:pPr>
            <w:r>
              <w:rPr>
                <w:rFonts w:ascii="Calibri" w:hAnsi="Calibri"/>
                <w:color w:val="2D3748"/>
                <w:sz w:val="15"/>
              </w:rPr>
              <w:t>None</w:t>
            </w:r>
          </w:p>
        </w:tc>
        <w:tc>
          <w:tcPr>
            <w:tcW w:w="1008" w:type="dxa"/>
            <w:shd w:val="clear" w:color="auto" w:fill="FFFFFF"/>
            <w:tcMar>
              <w:top w:w="50" w:type="dxa"/>
              <w:left w:w="50" w:type="dxa"/>
              <w:bottom w:w="50" w:type="dxa"/>
              <w:right w:w="50" w:type="dxa"/>
            </w:tcMar>
          </w:tcPr>
          <w:p w14:paraId="35CFBE7D">
            <w:pPr>
              <w:spacing w:after="0"/>
            </w:pPr>
            <w:r>
              <w:rPr>
                <w:rFonts w:ascii="Calibri" w:hAnsi="Calibri"/>
                <w:color w:val="2D3748"/>
                <w:sz w:val="15"/>
              </w:rPr>
              <w:t>Immutable kernel log file</w:t>
            </w:r>
          </w:p>
        </w:tc>
        <w:tc>
          <w:tcPr>
            <w:tcW w:w="864" w:type="dxa"/>
            <w:shd w:val="clear" w:color="auto" w:fill="FFFFFF"/>
            <w:tcMar>
              <w:top w:w="50" w:type="dxa"/>
              <w:left w:w="50" w:type="dxa"/>
              <w:bottom w:w="50" w:type="dxa"/>
              <w:right w:w="50" w:type="dxa"/>
            </w:tcMar>
          </w:tcPr>
          <w:p w14:paraId="792FDA65">
            <w:pPr>
              <w:spacing w:after="0"/>
            </w:pPr>
            <w:r>
              <w:rPr>
                <w:rFonts w:ascii="Calibri" w:hAnsi="Calibri"/>
                <w:color w:val="2D3748"/>
                <w:sz w:val="15"/>
              </w:rPr>
              <w:t>No (Headless service)</w:t>
            </w:r>
          </w:p>
        </w:tc>
      </w:tr>
      <w:tr w14:paraId="0DC5CD87">
        <w:tblPrEx>
          <w:tblCellMar>
            <w:top w:w="0" w:type="dxa"/>
            <w:left w:w="108" w:type="dxa"/>
            <w:bottom w:w="0" w:type="dxa"/>
            <w:right w:w="108" w:type="dxa"/>
          </w:tblCellMar>
        </w:tblPrEx>
        <w:trPr>
          <w:jc w:val="center"/>
        </w:trPr>
        <w:tc>
          <w:tcPr>
            <w:tcW w:w="1440" w:type="dxa"/>
            <w:shd w:val="clear" w:color="auto" w:fill="E6F0FA"/>
            <w:tcMar>
              <w:top w:w="50" w:type="dxa"/>
              <w:left w:w="50" w:type="dxa"/>
              <w:bottom w:w="50" w:type="dxa"/>
              <w:right w:w="50" w:type="dxa"/>
            </w:tcMar>
          </w:tcPr>
          <w:p w14:paraId="1D39ACA7">
            <w:pPr>
              <w:spacing w:after="0"/>
            </w:pPr>
            <w:r>
              <w:rPr>
                <w:rFonts w:ascii="Calibri" w:hAnsi="Calibri"/>
                <w:b/>
                <w:color w:val="102C57"/>
                <w:sz w:val="15"/>
              </w:rPr>
              <w:t>DevSecOps Console (`devshell&gt;`)</w:t>
            </w:r>
          </w:p>
        </w:tc>
        <w:tc>
          <w:tcPr>
            <w:tcW w:w="1008" w:type="dxa"/>
            <w:shd w:val="clear" w:color="auto" w:fill="E6F0FA"/>
            <w:tcMar>
              <w:top w:w="50" w:type="dxa"/>
              <w:left w:w="50" w:type="dxa"/>
              <w:bottom w:w="50" w:type="dxa"/>
              <w:right w:w="50" w:type="dxa"/>
            </w:tcMar>
          </w:tcPr>
          <w:p w14:paraId="2B791E2D">
            <w:pPr>
              <w:spacing w:after="0"/>
            </w:pPr>
            <w:r>
              <w:rPr>
                <w:rFonts w:ascii="Calibri" w:hAnsi="Calibri"/>
                <w:b/>
                <w:color w:val="102C57"/>
                <w:sz w:val="15"/>
              </w:rPr>
              <w:t>NATIVE BUILT-IN</w:t>
            </w:r>
          </w:p>
        </w:tc>
        <w:tc>
          <w:tcPr>
            <w:tcW w:w="1008" w:type="dxa"/>
            <w:shd w:val="clear" w:color="auto" w:fill="E6F0FA"/>
            <w:tcMar>
              <w:top w:w="50" w:type="dxa"/>
              <w:left w:w="50" w:type="dxa"/>
              <w:bottom w:w="50" w:type="dxa"/>
              <w:right w:w="50" w:type="dxa"/>
            </w:tcMar>
          </w:tcPr>
          <w:p w14:paraId="4DB085A8">
            <w:pPr>
              <w:spacing w:after="0"/>
            </w:pPr>
            <w:r>
              <w:rPr>
                <w:rFonts w:ascii="Calibri" w:hAnsi="Calibri"/>
                <w:b/>
                <w:color w:val="102C57"/>
                <w:sz w:val="15"/>
              </w:rPr>
              <w:t>LIGHTWEIGHT /PROC</w:t>
            </w:r>
          </w:p>
        </w:tc>
        <w:tc>
          <w:tcPr>
            <w:tcW w:w="1008" w:type="dxa"/>
            <w:shd w:val="clear" w:color="auto" w:fill="E6F0FA"/>
            <w:tcMar>
              <w:top w:w="50" w:type="dxa"/>
              <w:left w:w="50" w:type="dxa"/>
              <w:bottom w:w="50" w:type="dxa"/>
              <w:right w:w="50" w:type="dxa"/>
            </w:tcMar>
          </w:tcPr>
          <w:p w14:paraId="7D4AD315">
            <w:pPr>
              <w:spacing w:after="0"/>
            </w:pPr>
            <w:r>
              <w:rPr>
                <w:rFonts w:ascii="Calibri" w:hAnsi="Calibri"/>
                <w:b/>
                <w:color w:val="102C57"/>
                <w:sz w:val="15"/>
              </w:rPr>
              <w:t>INTEGRATED POSIX</w:t>
            </w:r>
          </w:p>
        </w:tc>
        <w:tc>
          <w:tcPr>
            <w:tcW w:w="1008" w:type="dxa"/>
            <w:shd w:val="clear" w:color="auto" w:fill="E6F0FA"/>
            <w:tcMar>
              <w:top w:w="50" w:type="dxa"/>
              <w:left w:w="50" w:type="dxa"/>
              <w:bottom w:w="50" w:type="dxa"/>
              <w:right w:w="50" w:type="dxa"/>
            </w:tcMar>
          </w:tcPr>
          <w:p w14:paraId="5B78827D">
            <w:pPr>
              <w:spacing w:after="0"/>
            </w:pPr>
            <w:r>
              <w:rPr>
                <w:rFonts w:ascii="Calibri" w:hAnsi="Calibri"/>
                <w:b/>
                <w:color w:val="102C57"/>
                <w:sz w:val="15"/>
              </w:rPr>
              <w:t>ROBUST SUPERVISION</w:t>
            </w:r>
          </w:p>
        </w:tc>
        <w:tc>
          <w:tcPr>
            <w:tcW w:w="1008" w:type="dxa"/>
            <w:shd w:val="clear" w:color="auto" w:fill="E6F0FA"/>
            <w:tcMar>
              <w:top w:w="50" w:type="dxa"/>
              <w:left w:w="50" w:type="dxa"/>
              <w:bottom w:w="50" w:type="dxa"/>
              <w:right w:w="50" w:type="dxa"/>
            </w:tcMar>
          </w:tcPr>
          <w:p w14:paraId="60E49C8F">
            <w:pPr>
              <w:spacing w:after="0"/>
            </w:pPr>
            <w:r>
              <w:rPr>
                <w:rFonts w:ascii="Calibri" w:hAnsi="Calibri"/>
                <w:b/>
                <w:color w:val="102C57"/>
                <w:sz w:val="15"/>
              </w:rPr>
              <w:t>BUILT-IN WHITELIST</w:t>
            </w:r>
          </w:p>
        </w:tc>
        <w:tc>
          <w:tcPr>
            <w:tcW w:w="1008" w:type="dxa"/>
            <w:shd w:val="clear" w:color="auto" w:fill="E6F0FA"/>
            <w:tcMar>
              <w:top w:w="50" w:type="dxa"/>
              <w:left w:w="50" w:type="dxa"/>
              <w:bottom w:w="50" w:type="dxa"/>
              <w:right w:w="50" w:type="dxa"/>
            </w:tcMar>
          </w:tcPr>
          <w:p w14:paraId="3864AD95">
            <w:pPr>
              <w:spacing w:after="0"/>
            </w:pPr>
            <w:r>
              <w:rPr>
                <w:rFonts w:ascii="Calibri" w:hAnsi="Calibri"/>
                <w:b/>
                <w:color w:val="102C57"/>
                <w:sz w:val="15"/>
              </w:rPr>
              <w:t>MULTITHREADED SCHEDULER</w:t>
            </w:r>
          </w:p>
        </w:tc>
        <w:tc>
          <w:tcPr>
            <w:tcW w:w="1008" w:type="dxa"/>
            <w:shd w:val="clear" w:color="auto" w:fill="E6F0FA"/>
            <w:tcMar>
              <w:top w:w="50" w:type="dxa"/>
              <w:left w:w="50" w:type="dxa"/>
              <w:bottom w:w="50" w:type="dxa"/>
              <w:right w:w="50" w:type="dxa"/>
            </w:tcMar>
          </w:tcPr>
          <w:p w14:paraId="5A35B86E">
            <w:pPr>
              <w:spacing w:after="0"/>
            </w:pPr>
            <w:r>
              <w:rPr>
                <w:rFonts w:ascii="Calibri" w:hAnsi="Calibri"/>
                <w:b/>
                <w:color w:val="102C57"/>
                <w:sz w:val="15"/>
              </w:rPr>
              <w:t>IMMUTABLE AUDIT LOG</w:t>
            </w:r>
          </w:p>
        </w:tc>
        <w:tc>
          <w:tcPr>
            <w:tcW w:w="864" w:type="dxa"/>
            <w:shd w:val="clear" w:color="auto" w:fill="E6F0FA"/>
            <w:tcMar>
              <w:top w:w="50" w:type="dxa"/>
              <w:left w:w="50" w:type="dxa"/>
              <w:bottom w:w="50" w:type="dxa"/>
              <w:right w:w="50" w:type="dxa"/>
            </w:tcMar>
          </w:tcPr>
          <w:p w14:paraId="10DDE8F7">
            <w:pPr>
              <w:spacing w:after="0"/>
            </w:pPr>
            <w:r>
              <w:rPr>
                <w:rFonts w:ascii="Calibri" w:hAnsi="Calibri"/>
                <w:b/>
                <w:color w:val="102C57"/>
                <w:sz w:val="15"/>
              </w:rPr>
              <w:t>YES (NATIVE C CONSOLE)</w:t>
            </w:r>
          </w:p>
        </w:tc>
      </w:tr>
    </w:tbl>
    <w:p w14:paraId="2D0BAF7F">
      <w:pPr>
        <w:spacing w:after="160"/>
      </w:pPr>
    </w:p>
    <w:p w14:paraId="4121D7F1">
      <w:pPr>
        <w:pStyle w:val="2"/>
        <w:spacing w:before="320" w:after="80"/>
      </w:pPr>
      <w:r>
        <w:rPr>
          <w:rFonts w:ascii="Calibri" w:hAnsi="Calibri"/>
          <w:b/>
          <w:color w:val="102C57"/>
          <w:sz w:val="30"/>
        </w:rPr>
        <w:t>6. Research Gap Analysis &amp; Module Mapping</w:t>
      </w:r>
    </w:p>
    <w:p w14:paraId="0679B06F">
      <w:pPr>
        <w:spacing w:after="80" w:line="276" w:lineRule="auto"/>
        <w:jc w:val="left"/>
      </w:pPr>
      <w:r>
        <w:rPr>
          <w:rFonts w:ascii="Calibri" w:hAnsi="Calibri"/>
          <w:b w:val="0"/>
          <w:i w:val="0"/>
          <w:color w:val="2D3748"/>
          <w:sz w:val="21"/>
        </w:rPr>
        <w:t>Based strictly on the findings of the reviewed literature, four distinct, defensible research gaps are identified:</w:t>
      </w:r>
    </w:p>
    <w:tbl>
      <w:tblPr>
        <w:tblStyle w:val="12"/>
        <w:tblW w:w="0" w:type="auto"/>
        <w:jc w:val="center"/>
        <w:tblLayout w:type="fixed"/>
        <w:tblCellMar>
          <w:top w:w="0" w:type="dxa"/>
          <w:left w:w="108" w:type="dxa"/>
          <w:bottom w:w="0" w:type="dxa"/>
          <w:right w:w="108" w:type="dxa"/>
        </w:tblCellMar>
      </w:tblPr>
      <w:tblGrid>
        <w:gridCol w:w="9360"/>
      </w:tblGrid>
      <w:tr w14:paraId="2501D443">
        <w:tblPrEx>
          <w:tblCellMar>
            <w:top w:w="0" w:type="dxa"/>
            <w:left w:w="108" w:type="dxa"/>
            <w:bottom w:w="0" w:type="dxa"/>
            <w:right w:w="108" w:type="dxa"/>
          </w:tblCellMar>
        </w:tblPrEx>
        <w:trPr>
          <w:jc w:val="center"/>
        </w:trPr>
        <w:tc>
          <w:tcPr>
            <w:tcW w:w="9360" w:type="dxa"/>
            <w:tcBorders>
              <w:top w:val="nil"/>
              <w:left w:val="single" w:color="1F4E79" w:sz="24" w:space="0"/>
              <w:bottom w:val="nil"/>
              <w:right w:val="nil"/>
            </w:tcBorders>
            <w:shd w:val="clear" w:color="auto" w:fill="F2F5F9"/>
            <w:tcMar>
              <w:top w:w="120" w:type="dxa"/>
              <w:left w:w="160" w:type="dxa"/>
              <w:bottom w:w="120" w:type="dxa"/>
              <w:right w:w="160" w:type="dxa"/>
            </w:tcMar>
          </w:tcPr>
          <w:p w14:paraId="2C926A49">
            <w:pPr>
              <w:spacing w:before="40" w:after="40"/>
            </w:pPr>
            <w:r>
              <w:rPr>
                <w:rFonts w:ascii="Calibri" w:hAnsi="Calibri"/>
                <w:b/>
                <w:color w:val="102C57"/>
                <w:sz w:val="20"/>
              </w:rPr>
              <w:t>📌 Research Gap 1: Severe Toolchain Fragmentation in Local Host Management</w:t>
            </w:r>
            <w:r>
              <w:rPr>
                <w:rFonts w:ascii="Calibri" w:hAnsi="Calibri"/>
                <w:b/>
                <w:color w:val="102C57"/>
                <w:sz w:val="20"/>
              </w:rPr>
              <w:br w:type="textWrapping"/>
            </w:r>
            <w:r>
              <w:rPr>
                <w:rFonts w:ascii="Calibri" w:hAnsi="Calibri"/>
                <w:color w:val="2D3748"/>
                <w:sz w:val="19"/>
              </w:rPr>
              <w:t>The literature (Rajapakse et al., 2022; Mao et al., 2023) demonstrates that while cloud-scale CI/CD is automated, local Linux host administration requires juggling 5+ disconnected utilities. This friction is the primary driver of operational mistakes and security policy bypasses.</w:t>
            </w:r>
            <w:r>
              <w:rPr>
                <w:rFonts w:ascii="Calibri" w:hAnsi="Calibri"/>
                <w:color w:val="2D3748"/>
                <w:sz w:val="19"/>
              </w:rPr>
              <w:br w:type="textWrapping"/>
            </w:r>
            <w:r>
              <w:rPr>
                <w:rFonts w:ascii="Calibri" w:hAnsi="Calibri"/>
                <w:color w:val="2D3748"/>
                <w:sz w:val="19"/>
              </w:rPr>
              <w:br w:type="textWrapping"/>
            </w:r>
            <w:r>
              <w:rPr>
                <w:rFonts w:ascii="Calibri" w:hAnsi="Calibri"/>
                <w:color w:val="2D3748"/>
                <w:sz w:val="19"/>
              </w:rPr>
              <w:t>🛠️ How Our Project Addresses This:</w:t>
            </w:r>
            <w:r>
              <w:rPr>
                <w:rFonts w:ascii="Calibri" w:hAnsi="Calibri"/>
                <w:color w:val="2D3748"/>
                <w:sz w:val="19"/>
              </w:rPr>
              <w:br w:type="textWrapping"/>
            </w:r>
            <w:r>
              <w:rPr>
                <w:rFonts w:ascii="Calibri" w:hAnsi="Calibri"/>
                <w:color w:val="2D3748"/>
                <w:sz w:val="19"/>
              </w:rPr>
              <w:t>Project Solution: A custom C-based interactive shell REPL with the unified prompt `devshell&gt;`, binding build, deploy, monitor, backup, and jobs into a single interface.</w:t>
            </w:r>
          </w:p>
        </w:tc>
      </w:tr>
    </w:tbl>
    <w:p w14:paraId="6519A234">
      <w:pPr>
        <w:spacing w:after="80"/>
      </w:pPr>
    </w:p>
    <w:tbl>
      <w:tblPr>
        <w:tblStyle w:val="12"/>
        <w:tblW w:w="0" w:type="auto"/>
        <w:jc w:val="center"/>
        <w:tblLayout w:type="fixed"/>
        <w:tblCellMar>
          <w:top w:w="0" w:type="dxa"/>
          <w:left w:w="108" w:type="dxa"/>
          <w:bottom w:w="0" w:type="dxa"/>
          <w:right w:w="108" w:type="dxa"/>
        </w:tblCellMar>
      </w:tblPr>
      <w:tblGrid>
        <w:gridCol w:w="9360"/>
      </w:tblGrid>
      <w:tr w14:paraId="10FA9402">
        <w:tblPrEx>
          <w:tblCellMar>
            <w:top w:w="0" w:type="dxa"/>
            <w:left w:w="108" w:type="dxa"/>
            <w:bottom w:w="0" w:type="dxa"/>
            <w:right w:w="108" w:type="dxa"/>
          </w:tblCellMar>
        </w:tblPrEx>
        <w:trPr>
          <w:jc w:val="center"/>
        </w:trPr>
        <w:tc>
          <w:tcPr>
            <w:tcW w:w="9360" w:type="dxa"/>
            <w:tcBorders>
              <w:top w:val="nil"/>
              <w:left w:val="single" w:color="1F4E79" w:sz="24" w:space="0"/>
              <w:bottom w:val="nil"/>
              <w:right w:val="nil"/>
            </w:tcBorders>
            <w:shd w:val="clear" w:color="auto" w:fill="F2F5F9"/>
            <w:tcMar>
              <w:top w:w="120" w:type="dxa"/>
              <w:left w:w="160" w:type="dxa"/>
              <w:bottom w:w="120" w:type="dxa"/>
              <w:right w:w="160" w:type="dxa"/>
            </w:tcMar>
          </w:tcPr>
          <w:p w14:paraId="70F83A95">
            <w:pPr>
              <w:spacing w:before="40" w:after="40"/>
            </w:pPr>
            <w:r>
              <w:rPr>
                <w:rFonts w:ascii="Calibri" w:hAnsi="Calibri"/>
                <w:b/>
                <w:color w:val="102C57"/>
                <w:sz w:val="20"/>
              </w:rPr>
              <w:t>📌 Research Gap 2: Fragile POSIX Process Supervision in Administrative Automation</w:t>
            </w:r>
            <w:r>
              <w:rPr>
                <w:rFonts w:ascii="Calibri" w:hAnsi="Calibri"/>
                <w:b/>
                <w:color w:val="102C57"/>
                <w:sz w:val="20"/>
              </w:rPr>
              <w:br w:type="textWrapping"/>
            </w:r>
            <w:r>
              <w:rPr>
                <w:rFonts w:ascii="Calibri" w:hAnsi="Calibri"/>
                <w:color w:val="2D3748"/>
                <w:sz w:val="19"/>
              </w:rPr>
              <w:t>Greenberg &amp; Blatt (2020) and Gallaba &amp; McIntosh (2020) prove that shell script wrappers frequently suffer from unhandled signal traps, pipeline buffering deadlocks, and zombie process leaks when supervising background automation.</w:t>
            </w:r>
            <w:r>
              <w:rPr>
                <w:rFonts w:ascii="Calibri" w:hAnsi="Calibri"/>
                <w:color w:val="2D3748"/>
                <w:sz w:val="19"/>
              </w:rPr>
              <w:br w:type="textWrapping"/>
            </w:r>
            <w:r>
              <w:rPr>
                <w:rFonts w:ascii="Calibri" w:hAnsi="Calibri"/>
                <w:color w:val="2D3748"/>
                <w:sz w:val="19"/>
              </w:rPr>
              <w:br w:type="textWrapping"/>
            </w:r>
            <w:r>
              <w:rPr>
                <w:rFonts w:ascii="Calibri" w:hAnsi="Calibri"/>
                <w:color w:val="2D3748"/>
                <w:sz w:val="19"/>
              </w:rPr>
              <w:t>🛠️ How Our Project Addresses This:</w:t>
            </w:r>
            <w:r>
              <w:rPr>
                <w:rFonts w:ascii="Calibri" w:hAnsi="Calibri"/>
                <w:color w:val="2D3748"/>
                <w:sz w:val="19"/>
              </w:rPr>
              <w:br w:type="textWrapping"/>
            </w:r>
            <w:r>
              <w:rPr>
                <w:rFonts w:ascii="Calibri" w:hAnsi="Calibri"/>
                <w:color w:val="2D3748"/>
                <w:sz w:val="19"/>
              </w:rPr>
              <w:t>Project Solution: A dedicated C Process Manager and IPC engine employing `fork()`, `execvp()`, `waitpid()`, `kill()`, anonymous pipes (`pipe()`), named FIFOs (`mkfifo()`), and asynchronous signal handlers (`SIGCHLD`, `SIGINT`).</w:t>
            </w:r>
          </w:p>
        </w:tc>
      </w:tr>
    </w:tbl>
    <w:p w14:paraId="4179F048">
      <w:pPr>
        <w:spacing w:after="80"/>
      </w:pPr>
    </w:p>
    <w:tbl>
      <w:tblPr>
        <w:tblStyle w:val="12"/>
        <w:tblW w:w="0" w:type="auto"/>
        <w:jc w:val="center"/>
        <w:tblLayout w:type="fixed"/>
        <w:tblCellMar>
          <w:top w:w="0" w:type="dxa"/>
          <w:left w:w="108" w:type="dxa"/>
          <w:bottom w:w="0" w:type="dxa"/>
          <w:right w:w="108" w:type="dxa"/>
        </w:tblCellMar>
      </w:tblPr>
      <w:tblGrid>
        <w:gridCol w:w="9360"/>
      </w:tblGrid>
      <w:tr w14:paraId="79FAE690">
        <w:tblPrEx>
          <w:tblCellMar>
            <w:top w:w="0" w:type="dxa"/>
            <w:left w:w="108" w:type="dxa"/>
            <w:bottom w:w="0" w:type="dxa"/>
            <w:right w:w="108" w:type="dxa"/>
          </w:tblCellMar>
        </w:tblPrEx>
        <w:trPr>
          <w:jc w:val="center"/>
        </w:trPr>
        <w:tc>
          <w:tcPr>
            <w:tcW w:w="9360" w:type="dxa"/>
            <w:tcBorders>
              <w:top w:val="nil"/>
              <w:left w:val="single" w:color="1F4E79" w:sz="24" w:space="0"/>
              <w:bottom w:val="nil"/>
              <w:right w:val="nil"/>
            </w:tcBorders>
            <w:shd w:val="clear" w:color="auto" w:fill="F2F5F9"/>
            <w:tcMar>
              <w:top w:w="120" w:type="dxa"/>
              <w:left w:w="160" w:type="dxa"/>
              <w:bottom w:w="120" w:type="dxa"/>
              <w:right w:w="160" w:type="dxa"/>
            </w:tcMar>
          </w:tcPr>
          <w:p w14:paraId="570FBADB">
            <w:pPr>
              <w:spacing w:before="40" w:after="40"/>
            </w:pPr>
            <w:r>
              <w:rPr>
                <w:rFonts w:ascii="Calibri" w:hAnsi="Calibri"/>
                <w:b/>
                <w:color w:val="102C57"/>
                <w:sz w:val="20"/>
              </w:rPr>
              <w:t>📌 Research Gap 3: High Resource Overhead in Host Telemetry &amp; Monitoring</w:t>
            </w:r>
            <w:r>
              <w:rPr>
                <w:rFonts w:ascii="Calibri" w:hAnsi="Calibri"/>
                <w:b/>
                <w:color w:val="102C57"/>
                <w:sz w:val="20"/>
              </w:rPr>
              <w:br w:type="textWrapping"/>
            </w:r>
            <w:r>
              <w:rPr>
                <w:rFonts w:ascii="Calibri" w:hAnsi="Calibri"/>
                <w:color w:val="2D3748"/>
                <w:sz w:val="19"/>
              </w:rPr>
              <w:t>Díaz et al. (2019) validated that self-service monitoring cuts anomaly detection time by 44%, yet existing monitoring stacks (Prometheus/Grafana) impose heavy memory and CPU footprints unsuited for lightweight hosts. Zhu et al. (2023) proved that direct `/proc` parsing can achieve &lt;3% CPU overhead.</w:t>
            </w:r>
            <w:r>
              <w:rPr>
                <w:rFonts w:ascii="Calibri" w:hAnsi="Calibri"/>
                <w:color w:val="2D3748"/>
                <w:sz w:val="19"/>
              </w:rPr>
              <w:br w:type="textWrapping"/>
            </w:r>
            <w:r>
              <w:rPr>
                <w:rFonts w:ascii="Calibri" w:hAnsi="Calibri"/>
                <w:color w:val="2D3748"/>
                <w:sz w:val="19"/>
              </w:rPr>
              <w:br w:type="textWrapping"/>
            </w:r>
            <w:r>
              <w:rPr>
                <w:rFonts w:ascii="Calibri" w:hAnsi="Calibri"/>
                <w:color w:val="2D3748"/>
                <w:sz w:val="19"/>
              </w:rPr>
              <w:t>🛠️ How Our Project Addresses This:</w:t>
            </w:r>
            <w:r>
              <w:rPr>
                <w:rFonts w:ascii="Calibri" w:hAnsi="Calibri"/>
                <w:color w:val="2D3748"/>
                <w:sz w:val="19"/>
              </w:rPr>
              <w:br w:type="textWrapping"/>
            </w:r>
            <w:r>
              <w:rPr>
                <w:rFonts w:ascii="Calibri" w:hAnsi="Calibri"/>
                <w:color w:val="2D3748"/>
                <w:sz w:val="19"/>
              </w:rPr>
              <w:t>Project Solution: Direct C file I/O parsing of `/proc/stat`, `/proc/meminfo`, and `/proc/[pid]/status` via the built-in `monitor` command.</w:t>
            </w:r>
          </w:p>
        </w:tc>
      </w:tr>
    </w:tbl>
    <w:p w14:paraId="4A078130">
      <w:pPr>
        <w:spacing w:after="80"/>
      </w:pPr>
    </w:p>
    <w:tbl>
      <w:tblPr>
        <w:tblStyle w:val="12"/>
        <w:tblW w:w="0" w:type="auto"/>
        <w:jc w:val="center"/>
        <w:tblLayout w:type="fixed"/>
        <w:tblCellMar>
          <w:top w:w="0" w:type="dxa"/>
          <w:left w:w="108" w:type="dxa"/>
          <w:bottom w:w="0" w:type="dxa"/>
          <w:right w:w="108" w:type="dxa"/>
        </w:tblCellMar>
      </w:tblPr>
      <w:tblGrid>
        <w:gridCol w:w="9360"/>
      </w:tblGrid>
      <w:tr w14:paraId="392CBDBA">
        <w:tblPrEx>
          <w:tblCellMar>
            <w:top w:w="0" w:type="dxa"/>
            <w:left w:w="108" w:type="dxa"/>
            <w:bottom w:w="0" w:type="dxa"/>
            <w:right w:w="108" w:type="dxa"/>
          </w:tblCellMar>
        </w:tblPrEx>
        <w:trPr>
          <w:jc w:val="center"/>
        </w:trPr>
        <w:tc>
          <w:tcPr>
            <w:tcW w:w="9360" w:type="dxa"/>
            <w:tcBorders>
              <w:top w:val="nil"/>
              <w:left w:val="single" w:color="1F4E79" w:sz="24" w:space="0"/>
              <w:bottom w:val="nil"/>
              <w:right w:val="nil"/>
            </w:tcBorders>
            <w:shd w:val="clear" w:color="auto" w:fill="F2F5F9"/>
            <w:tcMar>
              <w:top w:w="120" w:type="dxa"/>
              <w:left w:w="160" w:type="dxa"/>
              <w:bottom w:w="120" w:type="dxa"/>
              <w:right w:w="160" w:type="dxa"/>
            </w:tcMar>
          </w:tcPr>
          <w:p w14:paraId="1FBBEF8F">
            <w:pPr>
              <w:spacing w:before="40" w:after="40"/>
            </w:pPr>
            <w:r>
              <w:rPr>
                <w:rFonts w:ascii="Calibri" w:hAnsi="Calibri"/>
                <w:b/>
                <w:color w:val="102C57"/>
                <w:sz w:val="20"/>
              </w:rPr>
              <w:t>📌 Research Gap 4: Unaudited Administrative Automation &amp; Neglected Routine Maintenance</w:t>
            </w:r>
            <w:r>
              <w:rPr>
                <w:rFonts w:ascii="Calibri" w:hAnsi="Calibri"/>
                <w:b/>
                <w:color w:val="102C57"/>
                <w:sz w:val="20"/>
              </w:rPr>
              <w:br w:type="textWrapping"/>
            </w:r>
            <w:r>
              <w:rPr>
                <w:rFonts w:ascii="Calibri" w:hAnsi="Calibri"/>
                <w:color w:val="2D3748"/>
                <w:sz w:val="19"/>
              </w:rPr>
              <w:t>Rafi et al. (2020) and Tomas et al. (2019) revealed that routine maintenance (backups, scheduled tasks) is heavily neglected and lacks embedded access gating and tamper-resistant audit logging at the terminal layer.</w:t>
            </w:r>
            <w:r>
              <w:rPr>
                <w:rFonts w:ascii="Calibri" w:hAnsi="Calibri"/>
                <w:color w:val="2D3748"/>
                <w:sz w:val="19"/>
              </w:rPr>
              <w:br w:type="textWrapping"/>
            </w:r>
            <w:r>
              <w:rPr>
                <w:rFonts w:ascii="Calibri" w:hAnsi="Calibri"/>
                <w:color w:val="2D3748"/>
                <w:sz w:val="19"/>
              </w:rPr>
              <w:br w:type="textWrapping"/>
            </w:r>
            <w:r>
              <w:rPr>
                <w:rFonts w:ascii="Calibri" w:hAnsi="Calibri"/>
                <w:color w:val="2D3748"/>
                <w:sz w:val="19"/>
              </w:rPr>
              <w:t>🛠️ How Our Project Addresses This:</w:t>
            </w:r>
            <w:r>
              <w:rPr>
                <w:rFonts w:ascii="Calibri" w:hAnsi="Calibri"/>
                <w:color w:val="2D3748"/>
                <w:sz w:val="19"/>
              </w:rPr>
              <w:br w:type="textWrapping"/>
            </w:r>
            <w:r>
              <w:rPr>
                <w:rFonts w:ascii="Calibri" w:hAnsi="Calibri"/>
                <w:color w:val="2D3748"/>
                <w:sz w:val="19"/>
              </w:rPr>
              <w:t>Project Solution: A POSIX multithreaded Task Scheduler (`jobs`), automated directory archiver (`backup`, `restore`), Security Layer with command whitelisting, and append-only Audit Logger (`logs`).</w:t>
            </w:r>
          </w:p>
        </w:tc>
      </w:tr>
    </w:tbl>
    <w:p w14:paraId="1FE2A9EC">
      <w:pPr>
        <w:spacing w:after="80"/>
      </w:pPr>
    </w:p>
    <w:p w14:paraId="52EF8B8C">
      <w:pPr>
        <w:pStyle w:val="3"/>
        <w:spacing w:before="240" w:after="60"/>
      </w:pPr>
      <w:r>
        <w:rPr>
          <w:rFonts w:ascii="Calibri" w:hAnsi="Calibri"/>
          <w:b/>
          <w:color w:val="1F4E79"/>
          <w:sz w:val="25"/>
        </w:rPr>
        <w:t>Architecture &amp; Module-to-Gap Traceability Matrix</w:t>
      </w:r>
    </w:p>
    <w:p w14:paraId="6CE73DA5">
      <w:pPr>
        <w:spacing w:after="80" w:line="276" w:lineRule="auto"/>
        <w:jc w:val="left"/>
      </w:pPr>
      <w:r>
        <w:rPr>
          <w:rFonts w:ascii="Calibri" w:hAnsi="Calibri"/>
          <w:b w:val="0"/>
          <w:i w:val="0"/>
          <w:color w:val="2D3748"/>
          <w:sz w:val="21"/>
        </w:rPr>
        <w:t>The table below maps each of the 12 planned software modules to its specific Linux system calls and the research gap it addresses:</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6ADE8E53">
        <w:tblPrEx>
          <w:tblCellMar>
            <w:top w:w="0" w:type="dxa"/>
            <w:left w:w="108" w:type="dxa"/>
            <w:bottom w:w="0" w:type="dxa"/>
            <w:right w:w="108" w:type="dxa"/>
          </w:tblCellMar>
        </w:tblPrEx>
        <w:trPr>
          <w:jc w:val="center"/>
        </w:trPr>
        <w:tc>
          <w:tcPr>
            <w:tcW w:w="576" w:type="dxa"/>
            <w:shd w:val="clear" w:color="auto" w:fill="102C57"/>
            <w:tcMar>
              <w:top w:w="60" w:type="dxa"/>
              <w:left w:w="70" w:type="dxa"/>
              <w:bottom w:w="60" w:type="dxa"/>
              <w:right w:w="70" w:type="dxa"/>
            </w:tcMar>
          </w:tcPr>
          <w:p w14:paraId="2AC520F5">
            <w:pPr>
              <w:spacing w:after="0"/>
            </w:pPr>
            <w:r>
              <w:rPr>
                <w:rFonts w:ascii="Calibri" w:hAnsi="Calibri"/>
                <w:b/>
                <w:color w:val="FFFFFF"/>
                <w:sz w:val="17"/>
              </w:rPr>
              <w:t>No.</w:t>
            </w:r>
          </w:p>
        </w:tc>
        <w:tc>
          <w:tcPr>
            <w:tcW w:w="1872" w:type="dxa"/>
            <w:shd w:val="clear" w:color="auto" w:fill="102C57"/>
            <w:tcMar>
              <w:top w:w="60" w:type="dxa"/>
              <w:left w:w="70" w:type="dxa"/>
              <w:bottom w:w="60" w:type="dxa"/>
              <w:right w:w="70" w:type="dxa"/>
            </w:tcMar>
          </w:tcPr>
          <w:p w14:paraId="5B2AAB3B">
            <w:pPr>
              <w:spacing w:after="0"/>
            </w:pPr>
            <w:r>
              <w:rPr>
                <w:rFonts w:ascii="Calibri" w:hAnsi="Calibri"/>
                <w:b/>
                <w:color w:val="FFFFFF"/>
                <w:sz w:val="17"/>
              </w:rPr>
              <w:t>Module Name</w:t>
            </w:r>
          </w:p>
        </w:tc>
        <w:tc>
          <w:tcPr>
            <w:tcW w:w="2160" w:type="dxa"/>
            <w:shd w:val="clear" w:color="auto" w:fill="102C57"/>
            <w:tcMar>
              <w:top w:w="60" w:type="dxa"/>
              <w:left w:w="70" w:type="dxa"/>
              <w:bottom w:w="60" w:type="dxa"/>
              <w:right w:w="70" w:type="dxa"/>
            </w:tcMar>
          </w:tcPr>
          <w:p w14:paraId="42C5EB67">
            <w:pPr>
              <w:spacing w:after="0"/>
            </w:pPr>
            <w:r>
              <w:rPr>
                <w:rFonts w:ascii="Calibri" w:hAnsi="Calibri"/>
                <w:b/>
                <w:color w:val="FFFFFF"/>
                <w:sz w:val="17"/>
              </w:rPr>
              <w:t>Primary Commands / Features</w:t>
            </w:r>
          </w:p>
        </w:tc>
        <w:tc>
          <w:tcPr>
            <w:tcW w:w="2592" w:type="dxa"/>
            <w:shd w:val="clear" w:color="auto" w:fill="102C57"/>
            <w:tcMar>
              <w:top w:w="60" w:type="dxa"/>
              <w:left w:w="70" w:type="dxa"/>
              <w:bottom w:w="60" w:type="dxa"/>
              <w:right w:w="70" w:type="dxa"/>
            </w:tcMar>
          </w:tcPr>
          <w:p w14:paraId="04E89336">
            <w:pPr>
              <w:spacing w:after="0"/>
            </w:pPr>
            <w:r>
              <w:rPr>
                <w:rFonts w:ascii="Calibri" w:hAnsi="Calibri"/>
                <w:b/>
                <w:color w:val="FFFFFF"/>
                <w:sz w:val="17"/>
              </w:rPr>
              <w:t>Linux / POSIX System Calls &amp; Concepts</w:t>
            </w:r>
          </w:p>
        </w:tc>
        <w:tc>
          <w:tcPr>
            <w:tcW w:w="2160" w:type="dxa"/>
            <w:shd w:val="clear" w:color="auto" w:fill="102C57"/>
            <w:tcMar>
              <w:top w:w="60" w:type="dxa"/>
              <w:left w:w="70" w:type="dxa"/>
              <w:bottom w:w="60" w:type="dxa"/>
              <w:right w:w="70" w:type="dxa"/>
            </w:tcMar>
          </w:tcPr>
          <w:p w14:paraId="0E8430D8">
            <w:pPr>
              <w:spacing w:after="0"/>
            </w:pPr>
            <w:r>
              <w:rPr>
                <w:rFonts w:ascii="Calibri" w:hAnsi="Calibri"/>
                <w:b/>
                <w:color w:val="FFFFFF"/>
                <w:sz w:val="17"/>
              </w:rPr>
              <w:t>Addressed Research Gap</w:t>
            </w:r>
          </w:p>
        </w:tc>
      </w:tr>
      <w:tr w14:paraId="3130B20F">
        <w:tblPrEx>
          <w:tblCellMar>
            <w:top w:w="0" w:type="dxa"/>
            <w:left w:w="108" w:type="dxa"/>
            <w:bottom w:w="0" w:type="dxa"/>
            <w:right w:w="108" w:type="dxa"/>
          </w:tblCellMar>
        </w:tblPrEx>
        <w:trPr>
          <w:jc w:val="center"/>
        </w:trPr>
        <w:tc>
          <w:tcPr>
            <w:tcW w:w="576" w:type="dxa"/>
            <w:shd w:val="clear" w:color="auto" w:fill="FFFFFF"/>
            <w:tcMar>
              <w:top w:w="60" w:type="dxa"/>
              <w:left w:w="70" w:type="dxa"/>
              <w:bottom w:w="60" w:type="dxa"/>
              <w:right w:w="70" w:type="dxa"/>
            </w:tcMar>
          </w:tcPr>
          <w:p w14:paraId="77D9E365">
            <w:pPr>
              <w:spacing w:after="0"/>
            </w:pPr>
            <w:r>
              <w:rPr>
                <w:rFonts w:ascii="Calibri" w:hAnsi="Calibri"/>
                <w:color w:val="2D3748"/>
                <w:sz w:val="16"/>
              </w:rPr>
              <w:t>1</w:t>
            </w:r>
          </w:p>
        </w:tc>
        <w:tc>
          <w:tcPr>
            <w:tcW w:w="1872" w:type="dxa"/>
            <w:shd w:val="clear" w:color="auto" w:fill="FFFFFF"/>
            <w:tcMar>
              <w:top w:w="60" w:type="dxa"/>
              <w:left w:w="70" w:type="dxa"/>
              <w:bottom w:w="60" w:type="dxa"/>
              <w:right w:w="70" w:type="dxa"/>
            </w:tcMar>
          </w:tcPr>
          <w:p w14:paraId="2EF488DB">
            <w:pPr>
              <w:spacing w:after="0"/>
            </w:pPr>
            <w:r>
              <w:rPr>
                <w:rFonts w:ascii="Calibri" w:hAnsi="Calibri"/>
                <w:color w:val="2D3748"/>
                <w:sz w:val="16"/>
              </w:rPr>
              <w:t>Custom Shell / REPL</w:t>
            </w:r>
          </w:p>
        </w:tc>
        <w:tc>
          <w:tcPr>
            <w:tcW w:w="2160" w:type="dxa"/>
            <w:shd w:val="clear" w:color="auto" w:fill="FFFFFF"/>
            <w:tcMar>
              <w:top w:w="60" w:type="dxa"/>
              <w:left w:w="70" w:type="dxa"/>
              <w:bottom w:w="60" w:type="dxa"/>
              <w:right w:w="70" w:type="dxa"/>
            </w:tcMar>
          </w:tcPr>
          <w:p w14:paraId="62D3D0B7">
            <w:pPr>
              <w:spacing w:after="0"/>
            </w:pPr>
            <w:r>
              <w:rPr>
                <w:rFonts w:ascii="Calibri" w:hAnsi="Calibri"/>
                <w:color w:val="2D3748"/>
                <w:sz w:val="16"/>
              </w:rPr>
              <w:t>`devshell&gt;` prompt loop, command dispatch</w:t>
            </w:r>
          </w:p>
        </w:tc>
        <w:tc>
          <w:tcPr>
            <w:tcW w:w="2592" w:type="dxa"/>
            <w:shd w:val="clear" w:color="auto" w:fill="FFFFFF"/>
            <w:tcMar>
              <w:top w:w="60" w:type="dxa"/>
              <w:left w:w="70" w:type="dxa"/>
              <w:bottom w:w="60" w:type="dxa"/>
              <w:right w:w="70" w:type="dxa"/>
            </w:tcMar>
          </w:tcPr>
          <w:p w14:paraId="3A64415E">
            <w:pPr>
              <w:spacing w:after="0"/>
            </w:pPr>
            <w:r>
              <w:rPr>
                <w:rFonts w:ascii="Calibri" w:hAnsi="Calibri"/>
                <w:color w:val="2D3748"/>
                <w:sz w:val="16"/>
              </w:rPr>
              <w:t>`isatty()`, `getline()`, `history` buffer</w:t>
            </w:r>
          </w:p>
        </w:tc>
        <w:tc>
          <w:tcPr>
            <w:tcW w:w="2160" w:type="dxa"/>
            <w:shd w:val="clear" w:color="auto" w:fill="FFFFFF"/>
            <w:tcMar>
              <w:top w:w="60" w:type="dxa"/>
              <w:left w:w="70" w:type="dxa"/>
              <w:bottom w:w="60" w:type="dxa"/>
              <w:right w:w="70" w:type="dxa"/>
            </w:tcMar>
          </w:tcPr>
          <w:p w14:paraId="0D2255D4">
            <w:pPr>
              <w:spacing w:after="0"/>
            </w:pPr>
            <w:r>
              <w:rPr>
                <w:rFonts w:ascii="Calibri" w:hAnsi="Calibri"/>
                <w:color w:val="2D3748"/>
                <w:sz w:val="16"/>
              </w:rPr>
              <w:t>Gap 1 (Tool Fragmentation)</w:t>
            </w:r>
          </w:p>
        </w:tc>
      </w:tr>
      <w:tr w14:paraId="433D8FC8">
        <w:tblPrEx>
          <w:tblCellMar>
            <w:top w:w="0" w:type="dxa"/>
            <w:left w:w="108" w:type="dxa"/>
            <w:bottom w:w="0" w:type="dxa"/>
            <w:right w:w="108" w:type="dxa"/>
          </w:tblCellMar>
        </w:tblPrEx>
        <w:trPr>
          <w:jc w:val="center"/>
        </w:trPr>
        <w:tc>
          <w:tcPr>
            <w:tcW w:w="576" w:type="dxa"/>
            <w:shd w:val="clear" w:color="auto" w:fill="F2F5F9"/>
            <w:tcMar>
              <w:top w:w="60" w:type="dxa"/>
              <w:left w:w="70" w:type="dxa"/>
              <w:bottom w:w="60" w:type="dxa"/>
              <w:right w:w="70" w:type="dxa"/>
            </w:tcMar>
          </w:tcPr>
          <w:p w14:paraId="6B785B12">
            <w:pPr>
              <w:spacing w:after="0"/>
            </w:pPr>
            <w:r>
              <w:rPr>
                <w:rFonts w:ascii="Calibri" w:hAnsi="Calibri"/>
                <w:color w:val="2D3748"/>
                <w:sz w:val="16"/>
              </w:rPr>
              <w:t>2</w:t>
            </w:r>
          </w:p>
        </w:tc>
        <w:tc>
          <w:tcPr>
            <w:tcW w:w="1872" w:type="dxa"/>
            <w:shd w:val="clear" w:color="auto" w:fill="F2F5F9"/>
            <w:tcMar>
              <w:top w:w="60" w:type="dxa"/>
              <w:left w:w="70" w:type="dxa"/>
              <w:bottom w:w="60" w:type="dxa"/>
              <w:right w:w="70" w:type="dxa"/>
            </w:tcMar>
          </w:tcPr>
          <w:p w14:paraId="5085C6B8">
            <w:pPr>
              <w:spacing w:after="0"/>
            </w:pPr>
            <w:r>
              <w:rPr>
                <w:rFonts w:ascii="Calibri" w:hAnsi="Calibri"/>
                <w:color w:val="2D3748"/>
                <w:sz w:val="16"/>
              </w:rPr>
              <w:t>Command Parser</w:t>
            </w:r>
          </w:p>
        </w:tc>
        <w:tc>
          <w:tcPr>
            <w:tcW w:w="2160" w:type="dxa"/>
            <w:shd w:val="clear" w:color="auto" w:fill="F2F5F9"/>
            <w:tcMar>
              <w:top w:w="60" w:type="dxa"/>
              <w:left w:w="70" w:type="dxa"/>
              <w:bottom w:w="60" w:type="dxa"/>
              <w:right w:w="70" w:type="dxa"/>
            </w:tcMar>
          </w:tcPr>
          <w:p w14:paraId="67A66FEB">
            <w:pPr>
              <w:spacing w:after="0"/>
            </w:pPr>
            <w:r>
              <w:rPr>
                <w:rFonts w:ascii="Calibri" w:hAnsi="Calibri"/>
                <w:color w:val="2D3748"/>
                <w:sz w:val="16"/>
              </w:rPr>
              <w:t>Lexical tokenizer, argument splitter</w:t>
            </w:r>
          </w:p>
        </w:tc>
        <w:tc>
          <w:tcPr>
            <w:tcW w:w="2592" w:type="dxa"/>
            <w:shd w:val="clear" w:color="auto" w:fill="F2F5F9"/>
            <w:tcMar>
              <w:top w:w="60" w:type="dxa"/>
              <w:left w:w="70" w:type="dxa"/>
              <w:bottom w:w="60" w:type="dxa"/>
              <w:right w:w="70" w:type="dxa"/>
            </w:tcMar>
          </w:tcPr>
          <w:p w14:paraId="74A0497E">
            <w:pPr>
              <w:spacing w:after="0"/>
            </w:pPr>
            <w:r>
              <w:rPr>
                <w:rFonts w:ascii="Calibri" w:hAnsi="Calibri"/>
                <w:color w:val="2D3748"/>
                <w:sz w:val="16"/>
              </w:rPr>
              <w:t>`strtok_r()`, `strcmp()`, string sanitization</w:t>
            </w:r>
          </w:p>
        </w:tc>
        <w:tc>
          <w:tcPr>
            <w:tcW w:w="2160" w:type="dxa"/>
            <w:shd w:val="clear" w:color="auto" w:fill="F2F5F9"/>
            <w:tcMar>
              <w:top w:w="60" w:type="dxa"/>
              <w:left w:w="70" w:type="dxa"/>
              <w:bottom w:w="60" w:type="dxa"/>
              <w:right w:w="70" w:type="dxa"/>
            </w:tcMar>
          </w:tcPr>
          <w:p w14:paraId="36AA8FC6">
            <w:pPr>
              <w:spacing w:after="0"/>
            </w:pPr>
            <w:r>
              <w:rPr>
                <w:rFonts w:ascii="Calibri" w:hAnsi="Calibri"/>
                <w:color w:val="2D3748"/>
                <w:sz w:val="16"/>
              </w:rPr>
              <w:t>Gap 1 &amp; 2 (Safe Parsing)</w:t>
            </w:r>
          </w:p>
        </w:tc>
      </w:tr>
      <w:tr w14:paraId="12A88094">
        <w:tblPrEx>
          <w:tblCellMar>
            <w:top w:w="0" w:type="dxa"/>
            <w:left w:w="108" w:type="dxa"/>
            <w:bottom w:w="0" w:type="dxa"/>
            <w:right w:w="108" w:type="dxa"/>
          </w:tblCellMar>
        </w:tblPrEx>
        <w:trPr>
          <w:jc w:val="center"/>
        </w:trPr>
        <w:tc>
          <w:tcPr>
            <w:tcW w:w="576" w:type="dxa"/>
            <w:shd w:val="clear" w:color="auto" w:fill="FFFFFF"/>
            <w:tcMar>
              <w:top w:w="60" w:type="dxa"/>
              <w:left w:w="70" w:type="dxa"/>
              <w:bottom w:w="60" w:type="dxa"/>
              <w:right w:w="70" w:type="dxa"/>
            </w:tcMar>
          </w:tcPr>
          <w:p w14:paraId="1B71222B">
            <w:pPr>
              <w:spacing w:after="0"/>
            </w:pPr>
            <w:r>
              <w:rPr>
                <w:rFonts w:ascii="Calibri" w:hAnsi="Calibri"/>
                <w:color w:val="2D3748"/>
                <w:sz w:val="16"/>
              </w:rPr>
              <w:t>3</w:t>
            </w:r>
          </w:p>
        </w:tc>
        <w:tc>
          <w:tcPr>
            <w:tcW w:w="1872" w:type="dxa"/>
            <w:shd w:val="clear" w:color="auto" w:fill="FFFFFF"/>
            <w:tcMar>
              <w:top w:w="60" w:type="dxa"/>
              <w:left w:w="70" w:type="dxa"/>
              <w:bottom w:w="60" w:type="dxa"/>
              <w:right w:w="70" w:type="dxa"/>
            </w:tcMar>
          </w:tcPr>
          <w:p w14:paraId="646DB7D4">
            <w:pPr>
              <w:spacing w:after="0"/>
            </w:pPr>
            <w:r>
              <w:rPr>
                <w:rFonts w:ascii="Calibri" w:hAnsi="Calibri"/>
                <w:color w:val="2D3748"/>
                <w:sz w:val="16"/>
              </w:rPr>
              <w:t>Process Management</w:t>
            </w:r>
          </w:p>
        </w:tc>
        <w:tc>
          <w:tcPr>
            <w:tcW w:w="2160" w:type="dxa"/>
            <w:shd w:val="clear" w:color="auto" w:fill="FFFFFF"/>
            <w:tcMar>
              <w:top w:w="60" w:type="dxa"/>
              <w:left w:w="70" w:type="dxa"/>
              <w:bottom w:w="60" w:type="dxa"/>
              <w:right w:w="70" w:type="dxa"/>
            </w:tcMar>
          </w:tcPr>
          <w:p w14:paraId="4546505F">
            <w:pPr>
              <w:spacing w:after="0"/>
            </w:pPr>
            <w:r>
              <w:rPr>
                <w:rFonts w:ascii="Calibri" w:hAnsi="Calibri"/>
                <w:color w:val="2D3748"/>
                <w:sz w:val="16"/>
              </w:rPr>
              <w:t>Foreground &amp; background process supervisor</w:t>
            </w:r>
          </w:p>
        </w:tc>
        <w:tc>
          <w:tcPr>
            <w:tcW w:w="2592" w:type="dxa"/>
            <w:shd w:val="clear" w:color="auto" w:fill="FFFFFF"/>
            <w:tcMar>
              <w:top w:w="60" w:type="dxa"/>
              <w:left w:w="70" w:type="dxa"/>
              <w:bottom w:w="60" w:type="dxa"/>
              <w:right w:w="70" w:type="dxa"/>
            </w:tcMar>
          </w:tcPr>
          <w:p w14:paraId="7F36F069">
            <w:pPr>
              <w:spacing w:after="0"/>
            </w:pPr>
            <w:r>
              <w:rPr>
                <w:rFonts w:ascii="Calibri" w:hAnsi="Calibri"/>
                <w:color w:val="2D3748"/>
                <w:sz w:val="16"/>
              </w:rPr>
              <w:t>`fork()`, `execvp()`, `waitpid()`, `kill()`</w:t>
            </w:r>
          </w:p>
        </w:tc>
        <w:tc>
          <w:tcPr>
            <w:tcW w:w="2160" w:type="dxa"/>
            <w:shd w:val="clear" w:color="auto" w:fill="FFFFFF"/>
            <w:tcMar>
              <w:top w:w="60" w:type="dxa"/>
              <w:left w:w="70" w:type="dxa"/>
              <w:bottom w:w="60" w:type="dxa"/>
              <w:right w:w="70" w:type="dxa"/>
            </w:tcMar>
          </w:tcPr>
          <w:p w14:paraId="636FF592">
            <w:pPr>
              <w:spacing w:after="0"/>
            </w:pPr>
            <w:r>
              <w:rPr>
                <w:rFonts w:ascii="Calibri" w:hAnsi="Calibri"/>
                <w:color w:val="2D3748"/>
                <w:sz w:val="16"/>
              </w:rPr>
              <w:t>Gap 2 (Process Lifecycle)</w:t>
            </w:r>
          </w:p>
        </w:tc>
      </w:tr>
      <w:tr w14:paraId="44152580">
        <w:tblPrEx>
          <w:tblCellMar>
            <w:top w:w="0" w:type="dxa"/>
            <w:left w:w="108" w:type="dxa"/>
            <w:bottom w:w="0" w:type="dxa"/>
            <w:right w:w="108" w:type="dxa"/>
          </w:tblCellMar>
        </w:tblPrEx>
        <w:trPr>
          <w:jc w:val="center"/>
        </w:trPr>
        <w:tc>
          <w:tcPr>
            <w:tcW w:w="576" w:type="dxa"/>
            <w:shd w:val="clear" w:color="auto" w:fill="F2F5F9"/>
            <w:tcMar>
              <w:top w:w="60" w:type="dxa"/>
              <w:left w:w="70" w:type="dxa"/>
              <w:bottom w:w="60" w:type="dxa"/>
              <w:right w:w="70" w:type="dxa"/>
            </w:tcMar>
          </w:tcPr>
          <w:p w14:paraId="228F35F6">
            <w:pPr>
              <w:spacing w:after="0"/>
            </w:pPr>
            <w:r>
              <w:rPr>
                <w:rFonts w:ascii="Calibri" w:hAnsi="Calibri"/>
                <w:color w:val="2D3748"/>
                <w:sz w:val="16"/>
              </w:rPr>
              <w:t>4</w:t>
            </w:r>
          </w:p>
        </w:tc>
        <w:tc>
          <w:tcPr>
            <w:tcW w:w="1872" w:type="dxa"/>
            <w:shd w:val="clear" w:color="auto" w:fill="F2F5F9"/>
            <w:tcMar>
              <w:top w:w="60" w:type="dxa"/>
              <w:left w:w="70" w:type="dxa"/>
              <w:bottom w:w="60" w:type="dxa"/>
              <w:right w:w="70" w:type="dxa"/>
            </w:tcMar>
          </w:tcPr>
          <w:p w14:paraId="415BBAF2">
            <w:pPr>
              <w:spacing w:after="0"/>
            </w:pPr>
            <w:r>
              <w:rPr>
                <w:rFonts w:ascii="Calibri" w:hAnsi="Calibri"/>
                <w:color w:val="2D3748"/>
                <w:sz w:val="16"/>
              </w:rPr>
              <w:t>IPC &amp; Signals</w:t>
            </w:r>
          </w:p>
        </w:tc>
        <w:tc>
          <w:tcPr>
            <w:tcW w:w="2160" w:type="dxa"/>
            <w:shd w:val="clear" w:color="auto" w:fill="F2F5F9"/>
            <w:tcMar>
              <w:top w:w="60" w:type="dxa"/>
              <w:left w:w="70" w:type="dxa"/>
              <w:bottom w:w="60" w:type="dxa"/>
              <w:right w:w="70" w:type="dxa"/>
            </w:tcMar>
          </w:tcPr>
          <w:p w14:paraId="3A83446C">
            <w:pPr>
              <w:spacing w:after="0"/>
            </w:pPr>
            <w:r>
              <w:rPr>
                <w:rFonts w:ascii="Calibri" w:hAnsi="Calibri"/>
                <w:color w:val="2D3748"/>
                <w:sz w:val="16"/>
              </w:rPr>
              <w:t>Command piping, asynchronous signals</w:t>
            </w:r>
          </w:p>
        </w:tc>
        <w:tc>
          <w:tcPr>
            <w:tcW w:w="2592" w:type="dxa"/>
            <w:shd w:val="clear" w:color="auto" w:fill="F2F5F9"/>
            <w:tcMar>
              <w:top w:w="60" w:type="dxa"/>
              <w:left w:w="70" w:type="dxa"/>
              <w:bottom w:w="60" w:type="dxa"/>
              <w:right w:w="70" w:type="dxa"/>
            </w:tcMar>
          </w:tcPr>
          <w:p w14:paraId="034D6F90">
            <w:pPr>
              <w:spacing w:after="0"/>
            </w:pPr>
            <w:r>
              <w:rPr>
                <w:rFonts w:ascii="Calibri" w:hAnsi="Calibri"/>
                <w:color w:val="2D3748"/>
                <w:sz w:val="16"/>
              </w:rPr>
              <w:t>`pipe()`, `mkfifo()`, `signal()`, `sigaction()`, `dup2()`</w:t>
            </w:r>
          </w:p>
        </w:tc>
        <w:tc>
          <w:tcPr>
            <w:tcW w:w="2160" w:type="dxa"/>
            <w:shd w:val="clear" w:color="auto" w:fill="F2F5F9"/>
            <w:tcMar>
              <w:top w:w="60" w:type="dxa"/>
              <w:left w:w="70" w:type="dxa"/>
              <w:bottom w:w="60" w:type="dxa"/>
              <w:right w:w="70" w:type="dxa"/>
            </w:tcMar>
          </w:tcPr>
          <w:p w14:paraId="6315E5C9">
            <w:pPr>
              <w:spacing w:after="0"/>
            </w:pPr>
            <w:r>
              <w:rPr>
                <w:rFonts w:ascii="Calibri" w:hAnsi="Calibri"/>
                <w:color w:val="2D3748"/>
                <w:sz w:val="16"/>
              </w:rPr>
              <w:t>Gap 2 (IPC Deadlocks &amp; Signals)</w:t>
            </w:r>
          </w:p>
        </w:tc>
      </w:tr>
      <w:tr w14:paraId="302BEA6B">
        <w:tblPrEx>
          <w:tblCellMar>
            <w:top w:w="0" w:type="dxa"/>
            <w:left w:w="108" w:type="dxa"/>
            <w:bottom w:w="0" w:type="dxa"/>
            <w:right w:w="108" w:type="dxa"/>
          </w:tblCellMar>
        </w:tblPrEx>
        <w:trPr>
          <w:jc w:val="center"/>
        </w:trPr>
        <w:tc>
          <w:tcPr>
            <w:tcW w:w="576" w:type="dxa"/>
            <w:shd w:val="clear" w:color="auto" w:fill="FFFFFF"/>
            <w:tcMar>
              <w:top w:w="60" w:type="dxa"/>
              <w:left w:w="70" w:type="dxa"/>
              <w:bottom w:w="60" w:type="dxa"/>
              <w:right w:w="70" w:type="dxa"/>
            </w:tcMar>
          </w:tcPr>
          <w:p w14:paraId="578DAED6">
            <w:pPr>
              <w:spacing w:after="0"/>
            </w:pPr>
            <w:r>
              <w:rPr>
                <w:rFonts w:ascii="Calibri" w:hAnsi="Calibri"/>
                <w:color w:val="2D3748"/>
                <w:sz w:val="16"/>
              </w:rPr>
              <w:t>5</w:t>
            </w:r>
          </w:p>
        </w:tc>
        <w:tc>
          <w:tcPr>
            <w:tcW w:w="1872" w:type="dxa"/>
            <w:shd w:val="clear" w:color="auto" w:fill="FFFFFF"/>
            <w:tcMar>
              <w:top w:w="60" w:type="dxa"/>
              <w:left w:w="70" w:type="dxa"/>
              <w:bottom w:w="60" w:type="dxa"/>
              <w:right w:w="70" w:type="dxa"/>
            </w:tcMar>
          </w:tcPr>
          <w:p w14:paraId="02B84108">
            <w:pPr>
              <w:spacing w:after="0"/>
            </w:pPr>
            <w:r>
              <w:rPr>
                <w:rFonts w:ascii="Calibri" w:hAnsi="Calibri"/>
                <w:color w:val="2D3748"/>
                <w:sz w:val="16"/>
              </w:rPr>
              <w:t>Memory Management</w:t>
            </w:r>
          </w:p>
        </w:tc>
        <w:tc>
          <w:tcPr>
            <w:tcW w:w="2160" w:type="dxa"/>
            <w:shd w:val="clear" w:color="auto" w:fill="FFFFFF"/>
            <w:tcMar>
              <w:top w:w="60" w:type="dxa"/>
              <w:left w:w="70" w:type="dxa"/>
              <w:bottom w:w="60" w:type="dxa"/>
              <w:right w:w="70" w:type="dxa"/>
            </w:tcMar>
          </w:tcPr>
          <w:p w14:paraId="51F3FE99">
            <w:pPr>
              <w:spacing w:after="0"/>
            </w:pPr>
            <w:r>
              <w:rPr>
                <w:rFonts w:ascii="Calibri" w:hAnsi="Calibri"/>
                <w:color w:val="2D3748"/>
                <w:sz w:val="16"/>
              </w:rPr>
              <w:t>Virtual memory &amp; process heap/stack tracking</w:t>
            </w:r>
          </w:p>
        </w:tc>
        <w:tc>
          <w:tcPr>
            <w:tcW w:w="2592" w:type="dxa"/>
            <w:shd w:val="clear" w:color="auto" w:fill="FFFFFF"/>
            <w:tcMar>
              <w:top w:w="60" w:type="dxa"/>
              <w:left w:w="70" w:type="dxa"/>
              <w:bottom w:w="60" w:type="dxa"/>
              <w:right w:w="70" w:type="dxa"/>
            </w:tcMar>
          </w:tcPr>
          <w:p w14:paraId="68576B44">
            <w:pPr>
              <w:spacing w:after="0"/>
            </w:pPr>
            <w:r>
              <w:rPr>
                <w:rFonts w:ascii="Calibri" w:hAnsi="Calibri"/>
                <w:color w:val="2D3748"/>
                <w:sz w:val="16"/>
              </w:rPr>
              <w:t>`/proc/meminfo`, `/proc/[pid]/statm`, `malloc/free`</w:t>
            </w:r>
          </w:p>
        </w:tc>
        <w:tc>
          <w:tcPr>
            <w:tcW w:w="2160" w:type="dxa"/>
            <w:shd w:val="clear" w:color="auto" w:fill="FFFFFF"/>
            <w:tcMar>
              <w:top w:w="60" w:type="dxa"/>
              <w:left w:w="70" w:type="dxa"/>
              <w:bottom w:w="60" w:type="dxa"/>
              <w:right w:w="70" w:type="dxa"/>
            </w:tcMar>
          </w:tcPr>
          <w:p w14:paraId="7017EF46">
            <w:pPr>
              <w:spacing w:after="0"/>
            </w:pPr>
            <w:r>
              <w:rPr>
                <w:rFonts w:ascii="Calibri" w:hAnsi="Calibri"/>
                <w:color w:val="2D3748"/>
                <w:sz w:val="16"/>
              </w:rPr>
              <w:t>Gap 3 (Lightweight Telemetry)</w:t>
            </w:r>
          </w:p>
        </w:tc>
      </w:tr>
      <w:tr w14:paraId="5642FBDA">
        <w:tblPrEx>
          <w:tblCellMar>
            <w:top w:w="0" w:type="dxa"/>
            <w:left w:w="108" w:type="dxa"/>
            <w:bottom w:w="0" w:type="dxa"/>
            <w:right w:w="108" w:type="dxa"/>
          </w:tblCellMar>
        </w:tblPrEx>
        <w:trPr>
          <w:jc w:val="center"/>
        </w:trPr>
        <w:tc>
          <w:tcPr>
            <w:tcW w:w="576" w:type="dxa"/>
            <w:shd w:val="clear" w:color="auto" w:fill="F2F5F9"/>
            <w:tcMar>
              <w:top w:w="60" w:type="dxa"/>
              <w:left w:w="70" w:type="dxa"/>
              <w:bottom w:w="60" w:type="dxa"/>
              <w:right w:w="70" w:type="dxa"/>
            </w:tcMar>
          </w:tcPr>
          <w:p w14:paraId="56D0462E">
            <w:pPr>
              <w:spacing w:after="0"/>
            </w:pPr>
            <w:r>
              <w:rPr>
                <w:rFonts w:ascii="Calibri" w:hAnsi="Calibri"/>
                <w:color w:val="2D3748"/>
                <w:sz w:val="16"/>
              </w:rPr>
              <w:t>6</w:t>
            </w:r>
          </w:p>
        </w:tc>
        <w:tc>
          <w:tcPr>
            <w:tcW w:w="1872" w:type="dxa"/>
            <w:shd w:val="clear" w:color="auto" w:fill="F2F5F9"/>
            <w:tcMar>
              <w:top w:w="60" w:type="dxa"/>
              <w:left w:w="70" w:type="dxa"/>
              <w:bottom w:w="60" w:type="dxa"/>
              <w:right w:w="70" w:type="dxa"/>
            </w:tcMar>
          </w:tcPr>
          <w:p w14:paraId="561296B9">
            <w:pPr>
              <w:spacing w:after="0"/>
            </w:pPr>
            <w:r>
              <w:rPr>
                <w:rFonts w:ascii="Calibri" w:hAnsi="Calibri"/>
                <w:color w:val="2D3748"/>
                <w:sz w:val="16"/>
              </w:rPr>
              <w:t>File Management</w:t>
            </w:r>
          </w:p>
        </w:tc>
        <w:tc>
          <w:tcPr>
            <w:tcW w:w="2160" w:type="dxa"/>
            <w:shd w:val="clear" w:color="auto" w:fill="F2F5F9"/>
            <w:tcMar>
              <w:top w:w="60" w:type="dxa"/>
              <w:left w:w="70" w:type="dxa"/>
              <w:bottom w:w="60" w:type="dxa"/>
              <w:right w:w="70" w:type="dxa"/>
            </w:tcMar>
          </w:tcPr>
          <w:p w14:paraId="28B5D1A4">
            <w:pPr>
              <w:spacing w:after="0"/>
            </w:pPr>
            <w:r>
              <w:rPr>
                <w:rFonts w:ascii="Calibri" w:hAnsi="Calibri"/>
                <w:color w:val="2D3748"/>
                <w:sz w:val="16"/>
              </w:rPr>
              <w:t>Low-level I/O, file descriptor redirection</w:t>
            </w:r>
          </w:p>
        </w:tc>
        <w:tc>
          <w:tcPr>
            <w:tcW w:w="2592" w:type="dxa"/>
            <w:shd w:val="clear" w:color="auto" w:fill="F2F5F9"/>
            <w:tcMar>
              <w:top w:w="60" w:type="dxa"/>
              <w:left w:w="70" w:type="dxa"/>
              <w:bottom w:w="60" w:type="dxa"/>
              <w:right w:w="70" w:type="dxa"/>
            </w:tcMar>
          </w:tcPr>
          <w:p w14:paraId="12CCBEAE">
            <w:pPr>
              <w:spacing w:after="0"/>
            </w:pPr>
            <w:r>
              <w:rPr>
                <w:rFonts w:ascii="Calibri" w:hAnsi="Calibri"/>
                <w:color w:val="2D3748"/>
                <w:sz w:val="16"/>
              </w:rPr>
              <w:t>`open()`, `read()`, `write()`, `close()`, `lseek()`</w:t>
            </w:r>
          </w:p>
        </w:tc>
        <w:tc>
          <w:tcPr>
            <w:tcW w:w="2160" w:type="dxa"/>
            <w:shd w:val="clear" w:color="auto" w:fill="F2F5F9"/>
            <w:tcMar>
              <w:top w:w="60" w:type="dxa"/>
              <w:left w:w="70" w:type="dxa"/>
              <w:bottom w:w="60" w:type="dxa"/>
              <w:right w:w="70" w:type="dxa"/>
            </w:tcMar>
          </w:tcPr>
          <w:p w14:paraId="5BDFCF9F">
            <w:pPr>
              <w:spacing w:after="0"/>
            </w:pPr>
            <w:r>
              <w:rPr>
                <w:rFonts w:ascii="Calibri" w:hAnsi="Calibri"/>
                <w:color w:val="2D3748"/>
                <w:sz w:val="16"/>
              </w:rPr>
              <w:t>Gap 4 (File Maintenance)</w:t>
            </w:r>
          </w:p>
        </w:tc>
      </w:tr>
      <w:tr w14:paraId="0102C007">
        <w:tblPrEx>
          <w:tblCellMar>
            <w:top w:w="0" w:type="dxa"/>
            <w:left w:w="108" w:type="dxa"/>
            <w:bottom w:w="0" w:type="dxa"/>
            <w:right w:w="108" w:type="dxa"/>
          </w:tblCellMar>
        </w:tblPrEx>
        <w:trPr>
          <w:jc w:val="center"/>
        </w:trPr>
        <w:tc>
          <w:tcPr>
            <w:tcW w:w="576" w:type="dxa"/>
            <w:shd w:val="clear" w:color="auto" w:fill="FFFFFF"/>
            <w:tcMar>
              <w:top w:w="60" w:type="dxa"/>
              <w:left w:w="70" w:type="dxa"/>
              <w:bottom w:w="60" w:type="dxa"/>
              <w:right w:w="70" w:type="dxa"/>
            </w:tcMar>
          </w:tcPr>
          <w:p w14:paraId="5879B356">
            <w:pPr>
              <w:spacing w:after="0"/>
            </w:pPr>
            <w:r>
              <w:rPr>
                <w:rFonts w:ascii="Calibri" w:hAnsi="Calibri"/>
                <w:color w:val="2D3748"/>
                <w:sz w:val="16"/>
              </w:rPr>
              <w:t>7</w:t>
            </w:r>
          </w:p>
        </w:tc>
        <w:tc>
          <w:tcPr>
            <w:tcW w:w="1872" w:type="dxa"/>
            <w:shd w:val="clear" w:color="auto" w:fill="FFFFFF"/>
            <w:tcMar>
              <w:top w:w="60" w:type="dxa"/>
              <w:left w:w="70" w:type="dxa"/>
              <w:bottom w:w="60" w:type="dxa"/>
              <w:right w:w="70" w:type="dxa"/>
            </w:tcMar>
          </w:tcPr>
          <w:p w14:paraId="1E85DED7">
            <w:pPr>
              <w:spacing w:after="0"/>
            </w:pPr>
            <w:r>
              <w:rPr>
                <w:rFonts w:ascii="Calibri" w:hAnsi="Calibri"/>
                <w:color w:val="2D3748"/>
                <w:sz w:val="16"/>
              </w:rPr>
              <w:t>Security Layer</w:t>
            </w:r>
          </w:p>
        </w:tc>
        <w:tc>
          <w:tcPr>
            <w:tcW w:w="2160" w:type="dxa"/>
            <w:shd w:val="clear" w:color="auto" w:fill="FFFFFF"/>
            <w:tcMar>
              <w:top w:w="60" w:type="dxa"/>
              <w:left w:w="70" w:type="dxa"/>
              <w:bottom w:w="60" w:type="dxa"/>
              <w:right w:w="70" w:type="dxa"/>
            </w:tcMar>
          </w:tcPr>
          <w:p w14:paraId="0196F208">
            <w:pPr>
              <w:spacing w:after="0"/>
            </w:pPr>
            <w:r>
              <w:rPr>
                <w:rFonts w:ascii="Calibri" w:hAnsi="Calibri"/>
                <w:color w:val="2D3748"/>
                <w:sz w:val="16"/>
              </w:rPr>
              <w:t>Command whitelisting, privilege verification</w:t>
            </w:r>
          </w:p>
        </w:tc>
        <w:tc>
          <w:tcPr>
            <w:tcW w:w="2592" w:type="dxa"/>
            <w:shd w:val="clear" w:color="auto" w:fill="FFFFFF"/>
            <w:tcMar>
              <w:top w:w="60" w:type="dxa"/>
              <w:left w:w="70" w:type="dxa"/>
              <w:bottom w:w="60" w:type="dxa"/>
              <w:right w:w="70" w:type="dxa"/>
            </w:tcMar>
          </w:tcPr>
          <w:p w14:paraId="14438141">
            <w:pPr>
              <w:spacing w:after="0"/>
            </w:pPr>
            <w:r>
              <w:rPr>
                <w:rFonts w:ascii="Calibri" w:hAnsi="Calibri"/>
                <w:color w:val="2D3748"/>
                <w:sz w:val="16"/>
              </w:rPr>
              <w:t>`getuid()`, `geteuid()`, permission masks</w:t>
            </w:r>
          </w:p>
        </w:tc>
        <w:tc>
          <w:tcPr>
            <w:tcW w:w="2160" w:type="dxa"/>
            <w:shd w:val="clear" w:color="auto" w:fill="FFFFFF"/>
            <w:tcMar>
              <w:top w:w="60" w:type="dxa"/>
              <w:left w:w="70" w:type="dxa"/>
              <w:bottom w:w="60" w:type="dxa"/>
              <w:right w:w="70" w:type="dxa"/>
            </w:tcMar>
          </w:tcPr>
          <w:p w14:paraId="05D29838">
            <w:pPr>
              <w:spacing w:after="0"/>
            </w:pPr>
            <w:r>
              <w:rPr>
                <w:rFonts w:ascii="Calibri" w:hAnsi="Calibri"/>
                <w:color w:val="2D3748"/>
                <w:sz w:val="16"/>
              </w:rPr>
              <w:t>Gap 4 (Access Gating)</w:t>
            </w:r>
          </w:p>
        </w:tc>
      </w:tr>
      <w:tr w14:paraId="3B38E083">
        <w:tblPrEx>
          <w:tblCellMar>
            <w:top w:w="0" w:type="dxa"/>
            <w:left w:w="108" w:type="dxa"/>
            <w:bottom w:w="0" w:type="dxa"/>
            <w:right w:w="108" w:type="dxa"/>
          </w:tblCellMar>
        </w:tblPrEx>
        <w:trPr>
          <w:jc w:val="center"/>
        </w:trPr>
        <w:tc>
          <w:tcPr>
            <w:tcW w:w="576" w:type="dxa"/>
            <w:shd w:val="clear" w:color="auto" w:fill="F2F5F9"/>
            <w:tcMar>
              <w:top w:w="60" w:type="dxa"/>
              <w:left w:w="70" w:type="dxa"/>
              <w:bottom w:w="60" w:type="dxa"/>
              <w:right w:w="70" w:type="dxa"/>
            </w:tcMar>
          </w:tcPr>
          <w:p w14:paraId="4AC05D49">
            <w:pPr>
              <w:spacing w:after="0"/>
            </w:pPr>
            <w:r>
              <w:rPr>
                <w:rFonts w:ascii="Calibri" w:hAnsi="Calibri"/>
                <w:color w:val="2D3748"/>
                <w:sz w:val="16"/>
              </w:rPr>
              <w:t>8</w:t>
            </w:r>
          </w:p>
        </w:tc>
        <w:tc>
          <w:tcPr>
            <w:tcW w:w="1872" w:type="dxa"/>
            <w:shd w:val="clear" w:color="auto" w:fill="F2F5F9"/>
            <w:tcMar>
              <w:top w:w="60" w:type="dxa"/>
              <w:left w:w="70" w:type="dxa"/>
              <w:bottom w:w="60" w:type="dxa"/>
              <w:right w:w="70" w:type="dxa"/>
            </w:tcMar>
          </w:tcPr>
          <w:p w14:paraId="7BFD3A77">
            <w:pPr>
              <w:spacing w:after="0"/>
            </w:pPr>
            <w:r>
              <w:rPr>
                <w:rFonts w:ascii="Calibri" w:hAnsi="Calibri"/>
                <w:color w:val="2D3748"/>
                <w:sz w:val="16"/>
              </w:rPr>
              <w:t>System Monitoring</w:t>
            </w:r>
          </w:p>
        </w:tc>
        <w:tc>
          <w:tcPr>
            <w:tcW w:w="2160" w:type="dxa"/>
            <w:shd w:val="clear" w:color="auto" w:fill="F2F5F9"/>
            <w:tcMar>
              <w:top w:w="60" w:type="dxa"/>
              <w:left w:w="70" w:type="dxa"/>
              <w:bottom w:w="60" w:type="dxa"/>
              <w:right w:w="70" w:type="dxa"/>
            </w:tcMar>
          </w:tcPr>
          <w:p w14:paraId="5D68FBEA">
            <w:pPr>
              <w:spacing w:after="0"/>
            </w:pPr>
            <w:r>
              <w:rPr>
                <w:rFonts w:ascii="Calibri" w:hAnsi="Calibri"/>
                <w:color w:val="2D3748"/>
                <w:sz w:val="16"/>
              </w:rPr>
              <w:t>Real-time CPU/RAM/process status (`monitor`)</w:t>
            </w:r>
          </w:p>
        </w:tc>
        <w:tc>
          <w:tcPr>
            <w:tcW w:w="2592" w:type="dxa"/>
            <w:shd w:val="clear" w:color="auto" w:fill="F2F5F9"/>
            <w:tcMar>
              <w:top w:w="60" w:type="dxa"/>
              <w:left w:w="70" w:type="dxa"/>
              <w:bottom w:w="60" w:type="dxa"/>
              <w:right w:w="70" w:type="dxa"/>
            </w:tcMar>
          </w:tcPr>
          <w:p w14:paraId="16BB5DD2">
            <w:pPr>
              <w:spacing w:after="0"/>
            </w:pPr>
            <w:r>
              <w:rPr>
                <w:rFonts w:ascii="Calibri" w:hAnsi="Calibri"/>
                <w:color w:val="2D3748"/>
                <w:sz w:val="16"/>
              </w:rPr>
              <w:t>`/proc/stat`, `/proc/meminfo`, `sysinfo()`</w:t>
            </w:r>
          </w:p>
        </w:tc>
        <w:tc>
          <w:tcPr>
            <w:tcW w:w="2160" w:type="dxa"/>
            <w:shd w:val="clear" w:color="auto" w:fill="F2F5F9"/>
            <w:tcMar>
              <w:top w:w="60" w:type="dxa"/>
              <w:left w:w="70" w:type="dxa"/>
              <w:bottom w:w="60" w:type="dxa"/>
              <w:right w:w="70" w:type="dxa"/>
            </w:tcMar>
          </w:tcPr>
          <w:p w14:paraId="4BE4B97B">
            <w:pPr>
              <w:spacing w:after="0"/>
            </w:pPr>
            <w:r>
              <w:rPr>
                <w:rFonts w:ascii="Calibri" w:hAnsi="Calibri"/>
                <w:color w:val="2D3748"/>
                <w:sz w:val="16"/>
              </w:rPr>
              <w:t>Gap 3 (Host Visibility)</w:t>
            </w:r>
          </w:p>
        </w:tc>
      </w:tr>
      <w:tr w14:paraId="6C565C73">
        <w:tblPrEx>
          <w:tblCellMar>
            <w:top w:w="0" w:type="dxa"/>
            <w:left w:w="108" w:type="dxa"/>
            <w:bottom w:w="0" w:type="dxa"/>
            <w:right w:w="108" w:type="dxa"/>
          </w:tblCellMar>
        </w:tblPrEx>
        <w:trPr>
          <w:jc w:val="center"/>
        </w:trPr>
        <w:tc>
          <w:tcPr>
            <w:tcW w:w="576" w:type="dxa"/>
            <w:shd w:val="clear" w:color="auto" w:fill="FFFFFF"/>
            <w:tcMar>
              <w:top w:w="60" w:type="dxa"/>
              <w:left w:w="70" w:type="dxa"/>
              <w:bottom w:w="60" w:type="dxa"/>
              <w:right w:w="70" w:type="dxa"/>
            </w:tcMar>
          </w:tcPr>
          <w:p w14:paraId="6F4D9F20">
            <w:pPr>
              <w:spacing w:after="0"/>
            </w:pPr>
            <w:r>
              <w:rPr>
                <w:rFonts w:ascii="Calibri" w:hAnsi="Calibri"/>
                <w:color w:val="2D3748"/>
                <w:sz w:val="16"/>
              </w:rPr>
              <w:t>9</w:t>
            </w:r>
          </w:p>
        </w:tc>
        <w:tc>
          <w:tcPr>
            <w:tcW w:w="1872" w:type="dxa"/>
            <w:shd w:val="clear" w:color="auto" w:fill="FFFFFF"/>
            <w:tcMar>
              <w:top w:w="60" w:type="dxa"/>
              <w:left w:w="70" w:type="dxa"/>
              <w:bottom w:w="60" w:type="dxa"/>
              <w:right w:w="70" w:type="dxa"/>
            </w:tcMar>
          </w:tcPr>
          <w:p w14:paraId="242C1CE7">
            <w:pPr>
              <w:spacing w:after="0"/>
            </w:pPr>
            <w:r>
              <w:rPr>
                <w:rFonts w:ascii="Calibri" w:hAnsi="Calibri"/>
                <w:color w:val="2D3748"/>
                <w:sz w:val="16"/>
              </w:rPr>
              <w:t>Backup &amp; Restore</w:t>
            </w:r>
          </w:p>
        </w:tc>
        <w:tc>
          <w:tcPr>
            <w:tcW w:w="2160" w:type="dxa"/>
            <w:shd w:val="clear" w:color="auto" w:fill="FFFFFF"/>
            <w:tcMar>
              <w:top w:w="60" w:type="dxa"/>
              <w:left w:w="70" w:type="dxa"/>
              <w:bottom w:w="60" w:type="dxa"/>
              <w:right w:w="70" w:type="dxa"/>
            </w:tcMar>
          </w:tcPr>
          <w:p w14:paraId="23BBB711">
            <w:pPr>
              <w:spacing w:after="0"/>
            </w:pPr>
            <w:r>
              <w:rPr>
                <w:rFonts w:ascii="Calibri" w:hAnsi="Calibri"/>
                <w:color w:val="2D3748"/>
                <w:sz w:val="16"/>
              </w:rPr>
              <w:t>Automated directory archiving (`backup`, `restore`)</w:t>
            </w:r>
          </w:p>
        </w:tc>
        <w:tc>
          <w:tcPr>
            <w:tcW w:w="2592" w:type="dxa"/>
            <w:shd w:val="clear" w:color="auto" w:fill="FFFFFF"/>
            <w:tcMar>
              <w:top w:w="60" w:type="dxa"/>
              <w:left w:w="70" w:type="dxa"/>
              <w:bottom w:w="60" w:type="dxa"/>
              <w:right w:w="70" w:type="dxa"/>
            </w:tcMar>
          </w:tcPr>
          <w:p w14:paraId="286D6634">
            <w:pPr>
              <w:spacing w:after="0"/>
            </w:pPr>
            <w:r>
              <w:rPr>
                <w:rFonts w:ascii="Calibri" w:hAnsi="Calibri"/>
                <w:color w:val="2D3748"/>
                <w:sz w:val="16"/>
              </w:rPr>
              <w:t>`stat()`, `mkdir()`, POSIX tar/gzip integration</w:t>
            </w:r>
          </w:p>
        </w:tc>
        <w:tc>
          <w:tcPr>
            <w:tcW w:w="2160" w:type="dxa"/>
            <w:shd w:val="clear" w:color="auto" w:fill="FFFFFF"/>
            <w:tcMar>
              <w:top w:w="60" w:type="dxa"/>
              <w:left w:w="70" w:type="dxa"/>
              <w:bottom w:w="60" w:type="dxa"/>
              <w:right w:w="70" w:type="dxa"/>
            </w:tcMar>
          </w:tcPr>
          <w:p w14:paraId="0CE46DE5">
            <w:pPr>
              <w:spacing w:after="0"/>
            </w:pPr>
            <w:r>
              <w:rPr>
                <w:rFonts w:ascii="Calibri" w:hAnsi="Calibri"/>
                <w:color w:val="2D3748"/>
                <w:sz w:val="16"/>
              </w:rPr>
              <w:t>Gap 4 (Neglected Recovery)</w:t>
            </w:r>
          </w:p>
        </w:tc>
      </w:tr>
      <w:tr w14:paraId="0BC2416B">
        <w:tblPrEx>
          <w:tblCellMar>
            <w:top w:w="0" w:type="dxa"/>
            <w:left w:w="108" w:type="dxa"/>
            <w:bottom w:w="0" w:type="dxa"/>
            <w:right w:w="108" w:type="dxa"/>
          </w:tblCellMar>
        </w:tblPrEx>
        <w:trPr>
          <w:jc w:val="center"/>
        </w:trPr>
        <w:tc>
          <w:tcPr>
            <w:tcW w:w="576" w:type="dxa"/>
            <w:shd w:val="clear" w:color="auto" w:fill="F2F5F9"/>
            <w:tcMar>
              <w:top w:w="60" w:type="dxa"/>
              <w:left w:w="70" w:type="dxa"/>
              <w:bottom w:w="60" w:type="dxa"/>
              <w:right w:w="70" w:type="dxa"/>
            </w:tcMar>
          </w:tcPr>
          <w:p w14:paraId="05A615D7">
            <w:pPr>
              <w:spacing w:after="0"/>
            </w:pPr>
            <w:r>
              <w:rPr>
                <w:rFonts w:ascii="Calibri" w:hAnsi="Calibri"/>
                <w:color w:val="2D3748"/>
                <w:sz w:val="16"/>
              </w:rPr>
              <w:t>10</w:t>
            </w:r>
          </w:p>
        </w:tc>
        <w:tc>
          <w:tcPr>
            <w:tcW w:w="1872" w:type="dxa"/>
            <w:shd w:val="clear" w:color="auto" w:fill="F2F5F9"/>
            <w:tcMar>
              <w:top w:w="60" w:type="dxa"/>
              <w:left w:w="70" w:type="dxa"/>
              <w:bottom w:w="60" w:type="dxa"/>
              <w:right w:w="70" w:type="dxa"/>
            </w:tcMar>
          </w:tcPr>
          <w:p w14:paraId="1B97A100">
            <w:pPr>
              <w:spacing w:after="0"/>
            </w:pPr>
            <w:r>
              <w:rPr>
                <w:rFonts w:ascii="Calibri" w:hAnsi="Calibri"/>
                <w:color w:val="2D3748"/>
                <w:sz w:val="16"/>
              </w:rPr>
              <w:t>Task Scheduler</w:t>
            </w:r>
          </w:p>
        </w:tc>
        <w:tc>
          <w:tcPr>
            <w:tcW w:w="2160" w:type="dxa"/>
            <w:shd w:val="clear" w:color="auto" w:fill="F2F5F9"/>
            <w:tcMar>
              <w:top w:w="60" w:type="dxa"/>
              <w:left w:w="70" w:type="dxa"/>
              <w:bottom w:w="60" w:type="dxa"/>
              <w:right w:w="70" w:type="dxa"/>
            </w:tcMar>
          </w:tcPr>
          <w:p w14:paraId="1E298A1E">
            <w:pPr>
              <w:spacing w:after="0"/>
            </w:pPr>
            <w:r>
              <w:rPr>
                <w:rFonts w:ascii="Calibri" w:hAnsi="Calibri"/>
                <w:color w:val="2D3748"/>
                <w:sz w:val="16"/>
              </w:rPr>
              <w:t>Concurrent background job dispatcher (`jobs`)</w:t>
            </w:r>
          </w:p>
        </w:tc>
        <w:tc>
          <w:tcPr>
            <w:tcW w:w="2592" w:type="dxa"/>
            <w:shd w:val="clear" w:color="auto" w:fill="F2F5F9"/>
            <w:tcMar>
              <w:top w:w="60" w:type="dxa"/>
              <w:left w:w="70" w:type="dxa"/>
              <w:bottom w:w="60" w:type="dxa"/>
              <w:right w:w="70" w:type="dxa"/>
            </w:tcMar>
          </w:tcPr>
          <w:p w14:paraId="14D9328D">
            <w:pPr>
              <w:spacing w:after="0"/>
            </w:pPr>
            <w:r>
              <w:rPr>
                <w:rFonts w:ascii="Calibri" w:hAnsi="Calibri"/>
                <w:color w:val="2D3748"/>
                <w:sz w:val="16"/>
              </w:rPr>
              <w:t>`pthread_create()`, `pthread_join()`, timer loops</w:t>
            </w:r>
          </w:p>
        </w:tc>
        <w:tc>
          <w:tcPr>
            <w:tcW w:w="2160" w:type="dxa"/>
            <w:shd w:val="clear" w:color="auto" w:fill="F2F5F9"/>
            <w:tcMar>
              <w:top w:w="60" w:type="dxa"/>
              <w:left w:w="70" w:type="dxa"/>
              <w:bottom w:w="60" w:type="dxa"/>
              <w:right w:w="70" w:type="dxa"/>
            </w:tcMar>
          </w:tcPr>
          <w:p w14:paraId="14C05A71">
            <w:pPr>
              <w:spacing w:after="0"/>
            </w:pPr>
            <w:r>
              <w:rPr>
                <w:rFonts w:ascii="Calibri" w:hAnsi="Calibri"/>
                <w:color w:val="2D3748"/>
                <w:sz w:val="16"/>
              </w:rPr>
              <w:t>Gap 2 &amp; 4 (Automated Jobs)</w:t>
            </w:r>
          </w:p>
        </w:tc>
      </w:tr>
      <w:tr w14:paraId="35B71FE1">
        <w:tblPrEx>
          <w:tblCellMar>
            <w:top w:w="0" w:type="dxa"/>
            <w:left w:w="108" w:type="dxa"/>
            <w:bottom w:w="0" w:type="dxa"/>
            <w:right w:w="108" w:type="dxa"/>
          </w:tblCellMar>
        </w:tblPrEx>
        <w:trPr>
          <w:jc w:val="center"/>
        </w:trPr>
        <w:tc>
          <w:tcPr>
            <w:tcW w:w="576" w:type="dxa"/>
            <w:shd w:val="clear" w:color="auto" w:fill="FFFFFF"/>
            <w:tcMar>
              <w:top w:w="60" w:type="dxa"/>
              <w:left w:w="70" w:type="dxa"/>
              <w:bottom w:w="60" w:type="dxa"/>
              <w:right w:w="70" w:type="dxa"/>
            </w:tcMar>
          </w:tcPr>
          <w:p w14:paraId="2580DF40">
            <w:pPr>
              <w:spacing w:after="0"/>
            </w:pPr>
            <w:r>
              <w:rPr>
                <w:rFonts w:ascii="Calibri" w:hAnsi="Calibri"/>
                <w:color w:val="2D3748"/>
                <w:sz w:val="16"/>
              </w:rPr>
              <w:t>11</w:t>
            </w:r>
          </w:p>
        </w:tc>
        <w:tc>
          <w:tcPr>
            <w:tcW w:w="1872" w:type="dxa"/>
            <w:shd w:val="clear" w:color="auto" w:fill="FFFFFF"/>
            <w:tcMar>
              <w:top w:w="60" w:type="dxa"/>
              <w:left w:w="70" w:type="dxa"/>
              <w:bottom w:w="60" w:type="dxa"/>
              <w:right w:w="70" w:type="dxa"/>
            </w:tcMar>
          </w:tcPr>
          <w:p w14:paraId="6000812D">
            <w:pPr>
              <w:spacing w:after="0"/>
            </w:pPr>
            <w:r>
              <w:rPr>
                <w:rFonts w:ascii="Calibri" w:hAnsi="Calibri"/>
                <w:color w:val="2D3748"/>
                <w:sz w:val="16"/>
              </w:rPr>
              <w:t>Multithreading &amp; Sync</w:t>
            </w:r>
          </w:p>
        </w:tc>
        <w:tc>
          <w:tcPr>
            <w:tcW w:w="2160" w:type="dxa"/>
            <w:shd w:val="clear" w:color="auto" w:fill="FFFFFF"/>
            <w:tcMar>
              <w:top w:w="60" w:type="dxa"/>
              <w:left w:w="70" w:type="dxa"/>
              <w:bottom w:w="60" w:type="dxa"/>
              <w:right w:w="70" w:type="dxa"/>
            </w:tcMar>
          </w:tcPr>
          <w:p w14:paraId="0EA08257">
            <w:pPr>
              <w:spacing w:after="0"/>
            </w:pPr>
            <w:r>
              <w:rPr>
                <w:rFonts w:ascii="Calibri" w:hAnsi="Calibri"/>
                <w:color w:val="2D3748"/>
                <w:sz w:val="16"/>
              </w:rPr>
              <w:t>Thread-safe shared state &amp; task queue locks</w:t>
            </w:r>
          </w:p>
        </w:tc>
        <w:tc>
          <w:tcPr>
            <w:tcW w:w="2592" w:type="dxa"/>
            <w:shd w:val="clear" w:color="auto" w:fill="FFFFFF"/>
            <w:tcMar>
              <w:top w:w="60" w:type="dxa"/>
              <w:left w:w="70" w:type="dxa"/>
              <w:bottom w:w="60" w:type="dxa"/>
              <w:right w:w="70" w:type="dxa"/>
            </w:tcMar>
          </w:tcPr>
          <w:p w14:paraId="365A80C2">
            <w:pPr>
              <w:spacing w:after="0"/>
            </w:pPr>
            <w:r>
              <w:rPr>
                <w:rFonts w:ascii="Calibri" w:hAnsi="Calibri"/>
                <w:color w:val="2D3748"/>
                <w:sz w:val="16"/>
              </w:rPr>
              <w:t>`pthread_mutex_t`, `sem_t`, `pthread_mutex_lock`</w:t>
            </w:r>
          </w:p>
        </w:tc>
        <w:tc>
          <w:tcPr>
            <w:tcW w:w="2160" w:type="dxa"/>
            <w:shd w:val="clear" w:color="auto" w:fill="FFFFFF"/>
            <w:tcMar>
              <w:top w:w="60" w:type="dxa"/>
              <w:left w:w="70" w:type="dxa"/>
              <w:bottom w:w="60" w:type="dxa"/>
              <w:right w:w="70" w:type="dxa"/>
            </w:tcMar>
          </w:tcPr>
          <w:p w14:paraId="7735CF6E">
            <w:pPr>
              <w:spacing w:after="0"/>
            </w:pPr>
            <w:r>
              <w:rPr>
                <w:rFonts w:ascii="Calibri" w:hAnsi="Calibri"/>
                <w:color w:val="2D3748"/>
                <w:sz w:val="16"/>
              </w:rPr>
              <w:t>Gap 2 (Race Conditions)</w:t>
            </w:r>
          </w:p>
        </w:tc>
      </w:tr>
      <w:tr w14:paraId="1350D47B">
        <w:tblPrEx>
          <w:tblCellMar>
            <w:top w:w="0" w:type="dxa"/>
            <w:left w:w="108" w:type="dxa"/>
            <w:bottom w:w="0" w:type="dxa"/>
            <w:right w:w="108" w:type="dxa"/>
          </w:tblCellMar>
        </w:tblPrEx>
        <w:trPr>
          <w:jc w:val="center"/>
        </w:trPr>
        <w:tc>
          <w:tcPr>
            <w:tcW w:w="576" w:type="dxa"/>
            <w:shd w:val="clear" w:color="auto" w:fill="F2F5F9"/>
            <w:tcMar>
              <w:top w:w="60" w:type="dxa"/>
              <w:left w:w="70" w:type="dxa"/>
              <w:bottom w:w="60" w:type="dxa"/>
              <w:right w:w="70" w:type="dxa"/>
            </w:tcMar>
          </w:tcPr>
          <w:p w14:paraId="71CD24FA">
            <w:pPr>
              <w:spacing w:after="0"/>
            </w:pPr>
            <w:r>
              <w:rPr>
                <w:rFonts w:ascii="Calibri" w:hAnsi="Calibri"/>
                <w:color w:val="2D3748"/>
                <w:sz w:val="16"/>
              </w:rPr>
              <w:t>12</w:t>
            </w:r>
          </w:p>
        </w:tc>
        <w:tc>
          <w:tcPr>
            <w:tcW w:w="1872" w:type="dxa"/>
            <w:shd w:val="clear" w:color="auto" w:fill="F2F5F9"/>
            <w:tcMar>
              <w:top w:w="60" w:type="dxa"/>
              <w:left w:w="70" w:type="dxa"/>
              <w:bottom w:w="60" w:type="dxa"/>
              <w:right w:w="70" w:type="dxa"/>
            </w:tcMar>
          </w:tcPr>
          <w:p w14:paraId="59F98E92">
            <w:pPr>
              <w:spacing w:after="0"/>
            </w:pPr>
            <w:r>
              <w:rPr>
                <w:rFonts w:ascii="Calibri" w:hAnsi="Calibri"/>
                <w:color w:val="2D3748"/>
                <w:sz w:val="16"/>
              </w:rPr>
              <w:t>Audit Logging</w:t>
            </w:r>
          </w:p>
        </w:tc>
        <w:tc>
          <w:tcPr>
            <w:tcW w:w="2160" w:type="dxa"/>
            <w:shd w:val="clear" w:color="auto" w:fill="F2F5F9"/>
            <w:tcMar>
              <w:top w:w="60" w:type="dxa"/>
              <w:left w:w="70" w:type="dxa"/>
              <w:bottom w:w="60" w:type="dxa"/>
              <w:right w:w="70" w:type="dxa"/>
            </w:tcMar>
          </w:tcPr>
          <w:p w14:paraId="0486CD50">
            <w:pPr>
              <w:spacing w:after="0"/>
            </w:pPr>
            <w:r>
              <w:rPr>
                <w:rFonts w:ascii="Calibri" w:hAnsi="Calibri"/>
                <w:color w:val="2D3748"/>
                <w:sz w:val="16"/>
              </w:rPr>
              <w:t>Tamper-resistant command logging (`logs`)</w:t>
            </w:r>
          </w:p>
        </w:tc>
        <w:tc>
          <w:tcPr>
            <w:tcW w:w="2592" w:type="dxa"/>
            <w:shd w:val="clear" w:color="auto" w:fill="F2F5F9"/>
            <w:tcMar>
              <w:top w:w="60" w:type="dxa"/>
              <w:left w:w="70" w:type="dxa"/>
              <w:bottom w:w="60" w:type="dxa"/>
              <w:right w:w="70" w:type="dxa"/>
            </w:tcMar>
          </w:tcPr>
          <w:p w14:paraId="6AD1C380">
            <w:pPr>
              <w:spacing w:after="0"/>
            </w:pPr>
            <w:r>
              <w:rPr>
                <w:rFonts w:ascii="Calibri" w:hAnsi="Calibri"/>
                <w:color w:val="2D3748"/>
                <w:sz w:val="16"/>
              </w:rPr>
              <w:t>`O_APPEND`, `time()`, `strftime()`, file mode `0600`</w:t>
            </w:r>
          </w:p>
        </w:tc>
        <w:tc>
          <w:tcPr>
            <w:tcW w:w="2160" w:type="dxa"/>
            <w:shd w:val="clear" w:color="auto" w:fill="F2F5F9"/>
            <w:tcMar>
              <w:top w:w="60" w:type="dxa"/>
              <w:left w:w="70" w:type="dxa"/>
              <w:bottom w:w="60" w:type="dxa"/>
              <w:right w:w="70" w:type="dxa"/>
            </w:tcMar>
          </w:tcPr>
          <w:p w14:paraId="7D76E694">
            <w:pPr>
              <w:spacing w:after="0"/>
            </w:pPr>
            <w:r>
              <w:rPr>
                <w:rFonts w:ascii="Calibri" w:hAnsi="Calibri"/>
                <w:color w:val="2D3748"/>
                <w:sz w:val="16"/>
              </w:rPr>
              <w:t>Gap 4 (Command Traceability)</w:t>
            </w:r>
          </w:p>
        </w:tc>
      </w:tr>
    </w:tbl>
    <w:p w14:paraId="13C84439">
      <w:pPr>
        <w:spacing w:after="160"/>
      </w:pPr>
    </w:p>
    <w:p w14:paraId="22DC750A">
      <w:pPr>
        <w:pStyle w:val="2"/>
        <w:spacing w:before="320" w:after="80"/>
      </w:pPr>
      <w:r>
        <w:rPr>
          <w:rFonts w:ascii="Calibri" w:hAnsi="Calibri"/>
          <w:b/>
          <w:color w:val="102C57"/>
          <w:sz w:val="30"/>
        </w:rPr>
        <w:t>7. Semester Implementation Roadmap (8-Week Plan)</w:t>
      </w:r>
    </w:p>
    <w:p w14:paraId="6D423B65">
      <w:pPr>
        <w:spacing w:after="80" w:line="276" w:lineRule="auto"/>
        <w:jc w:val="left"/>
      </w:pPr>
      <w:r>
        <w:rPr>
          <w:rFonts w:ascii="Calibri" w:hAnsi="Calibri"/>
          <w:b w:val="0"/>
          <w:i w:val="0"/>
          <w:color w:val="2D3748"/>
          <w:sz w:val="21"/>
        </w:rPr>
        <w:t>The implementation is structured into three concrete phases across the 8-week semester schedule:</w:t>
      </w:r>
    </w:p>
    <w:tbl>
      <w:tblPr>
        <w:tblStyle w:val="12"/>
        <w:tblW w:w="0" w:type="auto"/>
        <w:jc w:val="center"/>
        <w:tblLayout w:type="fixed"/>
        <w:tblCellMar>
          <w:top w:w="0" w:type="dxa"/>
          <w:left w:w="108" w:type="dxa"/>
          <w:bottom w:w="0" w:type="dxa"/>
          <w:right w:w="108" w:type="dxa"/>
        </w:tblCellMar>
      </w:tblPr>
      <w:tblGrid>
        <w:gridCol w:w="9360"/>
      </w:tblGrid>
      <w:tr w14:paraId="67004D42">
        <w:tblPrEx>
          <w:tblCellMar>
            <w:top w:w="0" w:type="dxa"/>
            <w:left w:w="108" w:type="dxa"/>
            <w:bottom w:w="0" w:type="dxa"/>
            <w:right w:w="108" w:type="dxa"/>
          </w:tblCellMar>
        </w:tblPrEx>
        <w:trPr>
          <w:jc w:val="center"/>
        </w:trPr>
        <w:tc>
          <w:tcPr>
            <w:tcW w:w="9360" w:type="dxa"/>
            <w:tcBorders>
              <w:top w:val="nil"/>
              <w:left w:val="single" w:color="1F4E79" w:sz="24" w:space="0"/>
              <w:bottom w:val="nil"/>
              <w:right w:val="nil"/>
            </w:tcBorders>
            <w:shd w:val="clear" w:color="auto" w:fill="F2F5F9"/>
            <w:tcMar>
              <w:top w:w="120" w:type="dxa"/>
              <w:left w:w="160" w:type="dxa"/>
              <w:bottom w:w="120" w:type="dxa"/>
              <w:right w:w="160" w:type="dxa"/>
            </w:tcMar>
          </w:tcPr>
          <w:p w14:paraId="75D213C2">
            <w:pPr>
              <w:spacing w:before="40" w:after="40"/>
            </w:pPr>
            <w:r>
              <w:rPr>
                <w:rFonts w:ascii="Calibri" w:hAnsi="Calibri"/>
                <w:b/>
                <w:color w:val="102C57"/>
                <w:sz w:val="20"/>
              </w:rPr>
              <w:t>📌 Weeks 1–3: Core Shell Foundation &amp; Process Lifecycle</w:t>
            </w:r>
            <w:r>
              <w:rPr>
                <w:rFonts w:ascii="Calibri" w:hAnsi="Calibri"/>
                <w:b/>
                <w:color w:val="102C57"/>
                <w:sz w:val="20"/>
              </w:rPr>
              <w:br w:type="textWrapping"/>
            </w:r>
            <w:r>
              <w:rPr>
                <w:rFonts w:ascii="Calibri" w:hAnsi="Calibri"/>
                <w:color w:val="2D3748"/>
                <w:sz w:val="19"/>
              </w:rPr>
              <w:t>• Implement interactive REPL loop with `devshell&gt;` prompt.</w:t>
            </w:r>
            <w:r>
              <w:rPr>
                <w:rFonts w:ascii="Calibri" w:hAnsi="Calibri"/>
                <w:color w:val="2D3748"/>
                <w:sz w:val="19"/>
              </w:rPr>
              <w:br w:type="textWrapping"/>
            </w:r>
            <w:r>
              <w:rPr>
                <w:rFonts w:ascii="Calibri" w:hAnsi="Calibri"/>
                <w:color w:val="2D3748"/>
                <w:sz w:val="19"/>
              </w:rPr>
              <w:t>• Build lexical tokenizer and command parser for argument extraction.</w:t>
            </w:r>
            <w:r>
              <w:rPr>
                <w:rFonts w:ascii="Calibri" w:hAnsi="Calibri"/>
                <w:color w:val="2D3748"/>
                <w:sz w:val="19"/>
              </w:rPr>
              <w:br w:type="textWrapping"/>
            </w:r>
            <w:r>
              <w:rPr>
                <w:rFonts w:ascii="Calibri" w:hAnsi="Calibri"/>
                <w:color w:val="2D3748"/>
                <w:sz w:val="19"/>
              </w:rPr>
              <w:t>• Implement process supervision engine using `fork()`, `execvp()`, and `waitpid()`.</w:t>
            </w:r>
            <w:r>
              <w:rPr>
                <w:rFonts w:ascii="Calibri" w:hAnsi="Calibri"/>
                <w:color w:val="2D3748"/>
                <w:sz w:val="19"/>
              </w:rPr>
              <w:br w:type="textWrapping"/>
            </w:r>
            <w:r>
              <w:rPr>
                <w:rFonts w:ascii="Calibri" w:hAnsi="Calibri"/>
                <w:color w:val="2D3748"/>
                <w:sz w:val="19"/>
              </w:rPr>
              <w:t>• Implement signal handlers for `SIGINT` (Ctrl+C) and `SIGCHLD` to prevent zombie leaks.</w:t>
            </w:r>
            <w:r>
              <w:rPr>
                <w:rFonts w:ascii="Calibri" w:hAnsi="Calibri"/>
                <w:color w:val="2D3748"/>
                <w:sz w:val="19"/>
              </w:rPr>
              <w:br w:type="textWrapping"/>
            </w:r>
            <w:r>
              <w:rPr>
                <w:rFonts w:ascii="Calibri" w:hAnsi="Calibri"/>
                <w:color w:val="2D3748"/>
                <w:sz w:val="19"/>
              </w:rPr>
              <w:t>• Deliver basic built-in commands: `help`, `history`, `exit`.</w:t>
            </w:r>
          </w:p>
        </w:tc>
      </w:tr>
    </w:tbl>
    <w:p w14:paraId="43A41270">
      <w:pPr>
        <w:spacing w:after="80"/>
      </w:pPr>
    </w:p>
    <w:tbl>
      <w:tblPr>
        <w:tblStyle w:val="12"/>
        <w:tblW w:w="0" w:type="auto"/>
        <w:jc w:val="center"/>
        <w:tblLayout w:type="fixed"/>
        <w:tblCellMar>
          <w:top w:w="0" w:type="dxa"/>
          <w:left w:w="108" w:type="dxa"/>
          <w:bottom w:w="0" w:type="dxa"/>
          <w:right w:w="108" w:type="dxa"/>
        </w:tblCellMar>
      </w:tblPr>
      <w:tblGrid>
        <w:gridCol w:w="9360"/>
      </w:tblGrid>
      <w:tr w14:paraId="0F1301F0">
        <w:tblPrEx>
          <w:tblCellMar>
            <w:top w:w="0" w:type="dxa"/>
            <w:left w:w="108" w:type="dxa"/>
            <w:bottom w:w="0" w:type="dxa"/>
            <w:right w:w="108" w:type="dxa"/>
          </w:tblCellMar>
        </w:tblPrEx>
        <w:trPr>
          <w:jc w:val="center"/>
        </w:trPr>
        <w:tc>
          <w:tcPr>
            <w:tcW w:w="9360" w:type="dxa"/>
            <w:tcBorders>
              <w:top w:val="nil"/>
              <w:left w:val="single" w:color="1F4E79" w:sz="24" w:space="0"/>
              <w:bottom w:val="nil"/>
              <w:right w:val="nil"/>
            </w:tcBorders>
            <w:shd w:val="clear" w:color="auto" w:fill="F2F5F9"/>
            <w:tcMar>
              <w:top w:w="120" w:type="dxa"/>
              <w:left w:w="160" w:type="dxa"/>
              <w:bottom w:w="120" w:type="dxa"/>
              <w:right w:w="160" w:type="dxa"/>
            </w:tcMar>
          </w:tcPr>
          <w:p w14:paraId="71080FC5">
            <w:pPr>
              <w:spacing w:before="40" w:after="40"/>
            </w:pPr>
            <w:r>
              <w:rPr>
                <w:rFonts w:ascii="Calibri" w:hAnsi="Calibri"/>
                <w:b/>
                <w:color w:val="102C57"/>
                <w:sz w:val="20"/>
              </w:rPr>
              <w:t>📌 Weeks 4–6: Monitoring, Task Scheduler &amp; Backup Engine</w:t>
            </w:r>
            <w:r>
              <w:rPr>
                <w:rFonts w:ascii="Calibri" w:hAnsi="Calibri"/>
                <w:b/>
                <w:color w:val="102C57"/>
                <w:sz w:val="20"/>
              </w:rPr>
              <w:br w:type="textWrapping"/>
            </w:r>
            <w:r>
              <w:rPr>
                <w:rFonts w:ascii="Calibri" w:hAnsi="Calibri"/>
                <w:color w:val="2D3748"/>
                <w:sz w:val="19"/>
              </w:rPr>
              <w:t>• Develop lightweight System Monitoring engine parsing `/proc/stat` and `/proc/meminfo` (`monitor`).</w:t>
            </w:r>
            <w:r>
              <w:rPr>
                <w:rFonts w:ascii="Calibri" w:hAnsi="Calibri"/>
                <w:color w:val="2D3748"/>
                <w:sz w:val="19"/>
              </w:rPr>
              <w:br w:type="textWrapping"/>
            </w:r>
            <w:r>
              <w:rPr>
                <w:rFonts w:ascii="Calibri" w:hAnsi="Calibri"/>
                <w:color w:val="2D3748"/>
                <w:sz w:val="19"/>
              </w:rPr>
              <w:t>• Implement POSIX multithreaded Task Scheduler using `pthreads` and mutex locks (`jobs`).</w:t>
            </w:r>
            <w:r>
              <w:rPr>
                <w:rFonts w:ascii="Calibri" w:hAnsi="Calibri"/>
                <w:color w:val="2D3748"/>
                <w:sz w:val="19"/>
              </w:rPr>
              <w:br w:type="textWrapping"/>
            </w:r>
            <w:r>
              <w:rPr>
                <w:rFonts w:ascii="Calibri" w:hAnsi="Calibri"/>
                <w:color w:val="2D3748"/>
                <w:sz w:val="19"/>
              </w:rPr>
              <w:t>• Implement directory archiving and restoration engine (`backup`, `restore`).</w:t>
            </w:r>
            <w:r>
              <w:rPr>
                <w:rFonts w:ascii="Calibri" w:hAnsi="Calibri"/>
                <w:color w:val="2D3748"/>
                <w:sz w:val="19"/>
              </w:rPr>
              <w:br w:type="textWrapping"/>
            </w:r>
            <w:r>
              <w:rPr>
                <w:rFonts w:ascii="Calibri" w:hAnsi="Calibri"/>
                <w:color w:val="2D3748"/>
                <w:sz w:val="19"/>
              </w:rPr>
              <w:t>• Implement anonymous pipes (`pipe()`) and I/O redirection (`dup2()`).</w:t>
            </w:r>
          </w:p>
        </w:tc>
      </w:tr>
    </w:tbl>
    <w:p w14:paraId="0DAFA4E5">
      <w:pPr>
        <w:spacing w:after="80"/>
      </w:pPr>
    </w:p>
    <w:tbl>
      <w:tblPr>
        <w:tblStyle w:val="12"/>
        <w:tblW w:w="0" w:type="auto"/>
        <w:jc w:val="center"/>
        <w:tblLayout w:type="fixed"/>
        <w:tblCellMar>
          <w:top w:w="0" w:type="dxa"/>
          <w:left w:w="108" w:type="dxa"/>
          <w:bottom w:w="0" w:type="dxa"/>
          <w:right w:w="108" w:type="dxa"/>
        </w:tblCellMar>
      </w:tblPr>
      <w:tblGrid>
        <w:gridCol w:w="9360"/>
      </w:tblGrid>
      <w:tr w14:paraId="6E716B89">
        <w:tblPrEx>
          <w:tblCellMar>
            <w:top w:w="0" w:type="dxa"/>
            <w:left w:w="108" w:type="dxa"/>
            <w:bottom w:w="0" w:type="dxa"/>
            <w:right w:w="108" w:type="dxa"/>
          </w:tblCellMar>
        </w:tblPrEx>
        <w:trPr>
          <w:jc w:val="center"/>
        </w:trPr>
        <w:tc>
          <w:tcPr>
            <w:tcW w:w="9360" w:type="dxa"/>
            <w:tcBorders>
              <w:top w:val="nil"/>
              <w:left w:val="single" w:color="1F4E79" w:sz="24" w:space="0"/>
              <w:bottom w:val="nil"/>
              <w:right w:val="nil"/>
            </w:tcBorders>
            <w:shd w:val="clear" w:color="auto" w:fill="F2F5F9"/>
            <w:tcMar>
              <w:top w:w="120" w:type="dxa"/>
              <w:left w:w="160" w:type="dxa"/>
              <w:bottom w:w="120" w:type="dxa"/>
              <w:right w:w="160" w:type="dxa"/>
            </w:tcMar>
          </w:tcPr>
          <w:p w14:paraId="55D51EE5">
            <w:pPr>
              <w:spacing w:before="40" w:after="40"/>
            </w:pPr>
            <w:r>
              <w:rPr>
                <w:rFonts w:ascii="Calibri" w:hAnsi="Calibri"/>
                <w:b/>
                <w:color w:val="102C57"/>
                <w:sz w:val="20"/>
              </w:rPr>
              <w:t>📌 Weeks 7–8: Security Layer, Audit Logger &amp; System Integration</w:t>
            </w:r>
            <w:r>
              <w:rPr>
                <w:rFonts w:ascii="Calibri" w:hAnsi="Calibri"/>
                <w:b/>
                <w:color w:val="102C57"/>
                <w:sz w:val="20"/>
              </w:rPr>
              <w:br w:type="textWrapping"/>
            </w:r>
            <w:r>
              <w:rPr>
                <w:rFonts w:ascii="Calibri" w:hAnsi="Calibri"/>
                <w:color w:val="2D3748"/>
                <w:sz w:val="19"/>
              </w:rPr>
              <w:t>• Implement Security Layer with command whitelisting and input sanitization.</w:t>
            </w:r>
            <w:r>
              <w:rPr>
                <w:rFonts w:ascii="Calibri" w:hAnsi="Calibri"/>
                <w:color w:val="2D3748"/>
                <w:sz w:val="19"/>
              </w:rPr>
              <w:br w:type="textWrapping"/>
            </w:r>
            <w:r>
              <w:rPr>
                <w:rFonts w:ascii="Calibri" w:hAnsi="Calibri"/>
                <w:color w:val="2D3748"/>
                <w:sz w:val="19"/>
              </w:rPr>
              <w:t>• Build append-only, tamper-resistant Audit Logger writing structured execution events (`logs`).</w:t>
            </w:r>
            <w:r>
              <w:rPr>
                <w:rFonts w:ascii="Calibri" w:hAnsi="Calibri"/>
                <w:color w:val="2D3748"/>
                <w:sz w:val="19"/>
              </w:rPr>
              <w:br w:type="textWrapping"/>
            </w:r>
            <w:r>
              <w:rPr>
                <w:rFonts w:ascii="Calibri" w:hAnsi="Calibri"/>
                <w:color w:val="2D3748"/>
                <w:sz w:val="19"/>
              </w:rPr>
              <w:t>• Integrate continuous build and deployment script triggers (`build`, `deploy`).</w:t>
            </w:r>
            <w:r>
              <w:rPr>
                <w:rFonts w:ascii="Calibri" w:hAnsi="Calibri"/>
                <w:color w:val="2D3748"/>
                <w:sz w:val="19"/>
              </w:rPr>
              <w:br w:type="textWrapping"/>
            </w:r>
            <w:r>
              <w:rPr>
                <w:rFonts w:ascii="Calibri" w:hAnsi="Calibri"/>
                <w:color w:val="2D3748"/>
                <w:sz w:val="19"/>
              </w:rPr>
              <w:t>• Perform end-to-end stress testing, memory leak profiling (Valgrind), and documentation.</w:t>
            </w:r>
          </w:p>
        </w:tc>
      </w:tr>
    </w:tbl>
    <w:p w14:paraId="4AB3E964">
      <w:pPr>
        <w:spacing w:after="80"/>
      </w:pPr>
    </w:p>
    <w:p w14:paraId="1C84AD5C">
      <w:pPr>
        <w:pStyle w:val="2"/>
        <w:spacing w:before="320" w:after="80"/>
      </w:pPr>
      <w:r>
        <w:rPr>
          <w:rFonts w:hint="default" w:ascii="Calibri" w:hAnsi="Calibri"/>
          <w:b/>
          <w:color w:val="102C57"/>
          <w:sz w:val="30"/>
          <w:lang w:val="en-US"/>
        </w:rPr>
        <w:t>8</w:t>
      </w:r>
      <w:bookmarkStart w:id="0" w:name="_GoBack"/>
      <w:bookmarkEnd w:id="0"/>
      <w:r>
        <w:rPr>
          <w:rFonts w:ascii="Calibri" w:hAnsi="Calibri"/>
          <w:b/>
          <w:color w:val="102C57"/>
          <w:sz w:val="30"/>
        </w:rPr>
        <w:t>. Complete IEEE-Style References</w:t>
      </w:r>
    </w:p>
    <w:p w14:paraId="2D3E21FA">
      <w:pPr>
        <w:spacing w:after="80" w:line="276" w:lineRule="auto"/>
        <w:jc w:val="left"/>
      </w:pPr>
      <w:r>
        <w:rPr>
          <w:rFonts w:ascii="Calibri" w:hAnsi="Calibri"/>
          <w:b w:val="0"/>
          <w:i w:val="0"/>
          <w:color w:val="2D3748"/>
          <w:sz w:val="21"/>
        </w:rPr>
        <w:t>All references are verified peer-reviewed publications with direct clickable links:</w:t>
      </w:r>
    </w:p>
    <w:p w14:paraId="1C4540A8">
      <w:pPr>
        <w:spacing w:after="80"/>
        <w:ind w:left="432" w:hanging="432"/>
      </w:pPr>
      <w:r>
        <w:rPr>
          <w:rFonts w:ascii="Calibri" w:hAnsi="Calibri"/>
          <w:b/>
          <w:color w:val="1F4E79"/>
          <w:sz w:val="19"/>
        </w:rPr>
        <w:t xml:space="preserve">[1] </w:t>
      </w:r>
      <w:r>
        <w:rPr>
          <w:rFonts w:ascii="Calibri" w:hAnsi="Calibri"/>
          <w:color w:val="2D3748"/>
          <w:sz w:val="19"/>
        </w:rPr>
        <w:t xml:space="preserve">R. N. Rajapakse, M. Zahedi, M. A. Babar, and H. Shen, "Challenges and solutions when adopting DevSecOps: A systematic review," Information and Software Technology, vol. 141, art. 106700, Jan. 2022. </w:t>
      </w:r>
      <w:r>
        <w:fldChar w:fldCharType="begin"/>
      </w:r>
      <w:r>
        <w:instrText xml:space="preserve"> HYPERLINK "https://doi.org/10.1016/j.infsof.2021.106700" \h </w:instrText>
      </w:r>
      <w:r>
        <w:fldChar w:fldCharType="separate"/>
      </w:r>
      <w:r>
        <w:rPr>
          <w:color w:val="0056B3"/>
          <w:u w:val="single"/>
        </w:rPr>
        <w:t>[DOI/Link]</w:t>
      </w:r>
      <w:r>
        <w:rPr>
          <w:color w:val="0056B3"/>
          <w:u w:val="single"/>
        </w:rPr>
        <w:fldChar w:fldCharType="end"/>
      </w:r>
    </w:p>
    <w:p w14:paraId="130287BE">
      <w:pPr>
        <w:spacing w:after="80"/>
        <w:ind w:left="432" w:hanging="432"/>
      </w:pPr>
      <w:r>
        <w:rPr>
          <w:rFonts w:ascii="Calibri" w:hAnsi="Calibri"/>
          <w:b/>
          <w:color w:val="1F4E79"/>
          <w:sz w:val="19"/>
        </w:rPr>
        <w:t xml:space="preserve">[2] </w:t>
      </w:r>
      <w:r>
        <w:rPr>
          <w:rFonts w:ascii="Calibri" w:hAnsi="Calibri"/>
          <w:color w:val="2D3748"/>
          <w:sz w:val="19"/>
        </w:rPr>
        <w:t xml:space="preserve">S. Rafi, W. Yu, M. A. Akbar, A. Alsanad, and A. Gumaei, "Prioritization based taxonomy of DevOps security challenges using PROMETHEE," IEEE Access, vol. 8, pp. 105426–105446, Jun. 2020. </w:t>
      </w:r>
      <w:r>
        <w:fldChar w:fldCharType="begin"/>
      </w:r>
      <w:r>
        <w:instrText xml:space="preserve"> HYPERLINK "https://doi.org/10.1109/ACCESS.2020.3000287" \h </w:instrText>
      </w:r>
      <w:r>
        <w:fldChar w:fldCharType="separate"/>
      </w:r>
      <w:r>
        <w:rPr>
          <w:color w:val="0056B3"/>
          <w:u w:val="single"/>
        </w:rPr>
        <w:t>[DOI/Link]</w:t>
      </w:r>
      <w:r>
        <w:rPr>
          <w:color w:val="0056B3"/>
          <w:u w:val="single"/>
        </w:rPr>
        <w:fldChar w:fldCharType="end"/>
      </w:r>
    </w:p>
    <w:p w14:paraId="59747E6F">
      <w:pPr>
        <w:spacing w:after="80"/>
        <w:ind w:left="432" w:hanging="432"/>
      </w:pPr>
      <w:r>
        <w:rPr>
          <w:rFonts w:ascii="Calibri" w:hAnsi="Calibri"/>
          <w:b/>
          <w:color w:val="1F4E79"/>
          <w:sz w:val="19"/>
        </w:rPr>
        <w:t xml:space="preserve">[3] </w:t>
      </w:r>
      <w:r>
        <w:rPr>
          <w:rFonts w:ascii="Calibri" w:hAnsi="Calibri"/>
          <w:color w:val="2D3748"/>
          <w:sz w:val="19"/>
        </w:rPr>
        <w:t xml:space="preserve">V. Mohan and L. Ben Othmane, "SecDevOps: Is It a Marketing Buzzword? - Mapping Research on Security in DevOps," in Proc. 11th Int. Conf. Availability, Reliability and Security (ARES), Salzburg, Austria, 2016, pp. 542–547. </w:t>
      </w:r>
      <w:r>
        <w:fldChar w:fldCharType="begin"/>
      </w:r>
      <w:r>
        <w:instrText xml:space="preserve"> HYPERLINK "https://doi.org/10.1109/ARES.2016.92" \h </w:instrText>
      </w:r>
      <w:r>
        <w:fldChar w:fldCharType="separate"/>
      </w:r>
      <w:r>
        <w:rPr>
          <w:color w:val="0056B3"/>
          <w:u w:val="single"/>
        </w:rPr>
        <w:t>[DOI/Link]</w:t>
      </w:r>
      <w:r>
        <w:rPr>
          <w:color w:val="0056B3"/>
          <w:u w:val="single"/>
        </w:rPr>
        <w:fldChar w:fldCharType="end"/>
      </w:r>
    </w:p>
    <w:p w14:paraId="5BB6B2C3">
      <w:pPr>
        <w:spacing w:after="80"/>
        <w:ind w:left="432" w:hanging="432"/>
      </w:pPr>
      <w:r>
        <w:rPr>
          <w:rFonts w:ascii="Calibri" w:hAnsi="Calibri"/>
          <w:b/>
          <w:color w:val="1F4E79"/>
          <w:sz w:val="19"/>
        </w:rPr>
        <w:t xml:space="preserve">[4] </w:t>
      </w:r>
      <w:r>
        <w:rPr>
          <w:rFonts w:ascii="Calibri" w:hAnsi="Calibri"/>
          <w:color w:val="2D3748"/>
          <w:sz w:val="19"/>
        </w:rPr>
        <w:t xml:space="preserve">H. Myrbakken and R. Colomo-Palacios, "DevSecOps: A Multivocal Literature Review," in Software Process Improvement and Capability Determination (SPICE), CCIS, vol. 770, Springer, Cham, 2017, pp. 17–29. </w:t>
      </w:r>
      <w:r>
        <w:fldChar w:fldCharType="begin"/>
      </w:r>
      <w:r>
        <w:instrText xml:space="preserve"> HYPERLINK "https://doi.org/10.1007/978-3-319-67383-7_2" \h </w:instrText>
      </w:r>
      <w:r>
        <w:fldChar w:fldCharType="separate"/>
      </w:r>
      <w:r>
        <w:rPr>
          <w:color w:val="0056B3"/>
          <w:u w:val="single"/>
        </w:rPr>
        <w:t>[DOI/Link]</w:t>
      </w:r>
      <w:r>
        <w:rPr>
          <w:color w:val="0056B3"/>
          <w:u w:val="single"/>
        </w:rPr>
        <w:fldChar w:fldCharType="end"/>
      </w:r>
    </w:p>
    <w:p w14:paraId="471C6826">
      <w:pPr>
        <w:spacing w:after="80"/>
        <w:ind w:left="432" w:hanging="432"/>
      </w:pPr>
      <w:r>
        <w:rPr>
          <w:rFonts w:ascii="Calibri" w:hAnsi="Calibri"/>
          <w:b/>
          <w:color w:val="1F4E79"/>
          <w:sz w:val="19"/>
        </w:rPr>
        <w:t xml:space="preserve">[5] </w:t>
      </w:r>
      <w:r>
        <w:rPr>
          <w:rFonts w:ascii="Calibri" w:hAnsi="Calibri"/>
          <w:color w:val="2D3748"/>
          <w:sz w:val="19"/>
        </w:rPr>
        <w:t xml:space="preserve">J. Díaz, J. E. Pérez, M. A. Lopez-Peña, G. A. Mena, and A. Yagüe, "Self-Service Cybersecurity Monitoring as Enabler for DevSecOps," IEEE Access, vol. 7, pp. 100283–100295, Jul. 2019. </w:t>
      </w:r>
      <w:r>
        <w:fldChar w:fldCharType="begin"/>
      </w:r>
      <w:r>
        <w:instrText xml:space="preserve"> HYPERLINK "https://doi.org/10.1109/ACCESS.2019.2930000" \h </w:instrText>
      </w:r>
      <w:r>
        <w:fldChar w:fldCharType="separate"/>
      </w:r>
      <w:r>
        <w:rPr>
          <w:color w:val="0056B3"/>
          <w:u w:val="single"/>
        </w:rPr>
        <w:t>[DOI/Link]</w:t>
      </w:r>
      <w:r>
        <w:rPr>
          <w:color w:val="0056B3"/>
          <w:u w:val="single"/>
        </w:rPr>
        <w:fldChar w:fldCharType="end"/>
      </w:r>
    </w:p>
    <w:p w14:paraId="285CAE9E">
      <w:pPr>
        <w:spacing w:after="80"/>
        <w:ind w:left="432" w:hanging="432"/>
      </w:pPr>
      <w:r>
        <w:rPr>
          <w:rFonts w:ascii="Calibri" w:hAnsi="Calibri"/>
          <w:b/>
          <w:color w:val="1F4E79"/>
          <w:sz w:val="19"/>
        </w:rPr>
        <w:t xml:space="preserve">[6] </w:t>
      </w:r>
      <w:r>
        <w:rPr>
          <w:rFonts w:ascii="Calibri" w:hAnsi="Calibri"/>
          <w:color w:val="2D3748"/>
          <w:sz w:val="19"/>
        </w:rPr>
        <w:t xml:space="preserve">R. C. Bautista Ramos and S. G. Yoo, "Cybersecurity in DevOps Environments: A Systematic Literature Review," IEEE Access, vol. 13, pp. 31245–31268, 2025. </w:t>
      </w:r>
      <w:r>
        <w:fldChar w:fldCharType="begin"/>
      </w:r>
      <w:r>
        <w:instrText xml:space="preserve"> HYPERLINK "https://doi.org/10.1109/ACCESS.2025.3538112" \h </w:instrText>
      </w:r>
      <w:r>
        <w:fldChar w:fldCharType="separate"/>
      </w:r>
      <w:r>
        <w:rPr>
          <w:color w:val="0056B3"/>
          <w:u w:val="single"/>
        </w:rPr>
        <w:t>[DOI/Link]</w:t>
      </w:r>
      <w:r>
        <w:rPr>
          <w:color w:val="0056B3"/>
          <w:u w:val="single"/>
        </w:rPr>
        <w:fldChar w:fldCharType="end"/>
      </w:r>
    </w:p>
    <w:p w14:paraId="69CAFEA7">
      <w:pPr>
        <w:spacing w:after="80"/>
        <w:ind w:left="432" w:hanging="432"/>
      </w:pPr>
      <w:r>
        <w:rPr>
          <w:rFonts w:ascii="Calibri" w:hAnsi="Calibri"/>
          <w:b/>
          <w:color w:val="1F4E79"/>
          <w:sz w:val="19"/>
        </w:rPr>
        <w:t xml:space="preserve">[7] </w:t>
      </w:r>
      <w:r>
        <w:rPr>
          <w:rFonts w:ascii="Calibri" w:hAnsi="Calibri"/>
          <w:color w:val="2D3748"/>
          <w:sz w:val="19"/>
        </w:rPr>
        <w:t xml:space="preserve">M. Greenberg and A. J. Blatt, "Executable formal semantics for the POSIX shell," Proc. ACM Program. Lang., vol. 4, no. POPL, art. 44, pp. 1–30, Jan. 2020. </w:t>
      </w:r>
      <w:r>
        <w:fldChar w:fldCharType="begin"/>
      </w:r>
      <w:r>
        <w:instrText xml:space="preserve"> HYPERLINK "https://doi.org/10.1145/3371112" \h </w:instrText>
      </w:r>
      <w:r>
        <w:fldChar w:fldCharType="separate"/>
      </w:r>
      <w:r>
        <w:rPr>
          <w:color w:val="0056B3"/>
          <w:u w:val="single"/>
        </w:rPr>
        <w:t>[DOI/Link]</w:t>
      </w:r>
      <w:r>
        <w:rPr>
          <w:color w:val="0056B3"/>
          <w:u w:val="single"/>
        </w:rPr>
        <w:fldChar w:fldCharType="end"/>
      </w:r>
    </w:p>
    <w:p w14:paraId="274550D0">
      <w:pPr>
        <w:spacing w:after="80"/>
        <w:ind w:left="432" w:hanging="432"/>
      </w:pPr>
      <w:r>
        <w:rPr>
          <w:rFonts w:ascii="Calibri" w:hAnsi="Calibri"/>
          <w:b/>
          <w:color w:val="1F4E79"/>
          <w:sz w:val="19"/>
        </w:rPr>
        <w:t xml:space="preserve">[8] </w:t>
      </w:r>
      <w:r>
        <w:rPr>
          <w:rFonts w:ascii="Calibri" w:hAnsi="Calibri"/>
          <w:color w:val="2D3748"/>
          <w:sz w:val="19"/>
        </w:rPr>
        <w:t xml:space="preserve">T. Zhu, J. Yu, C. Xiong, W. Cheng, Q. Yuan, J. Ying, T. Chen, J. Zhang, M. Lv, Y. Chen, T. Wang, and Y. Fan, "APTSHIELD: A Stable, Efficient and Real-Time APT Detection System for Linux Hosts," IEEE Transactions on Dependable and Secure Computing, vol. 20, no. 6, pp. 4887–4901, Nov.-Dec. 2023. </w:t>
      </w:r>
      <w:r>
        <w:fldChar w:fldCharType="begin"/>
      </w:r>
      <w:r>
        <w:instrText xml:space="preserve"> HYPERLINK "https://doi.org/10.1109/TDSC.2023.3236371" \h </w:instrText>
      </w:r>
      <w:r>
        <w:fldChar w:fldCharType="separate"/>
      </w:r>
      <w:r>
        <w:rPr>
          <w:color w:val="0056B3"/>
          <w:u w:val="single"/>
        </w:rPr>
        <w:t>[DOI/Link]</w:t>
      </w:r>
      <w:r>
        <w:rPr>
          <w:color w:val="0056B3"/>
          <w:u w:val="single"/>
        </w:rPr>
        <w:fldChar w:fldCharType="end"/>
      </w:r>
    </w:p>
    <w:p w14:paraId="0BFEE8BC">
      <w:pPr>
        <w:spacing w:after="80"/>
        <w:ind w:left="432" w:hanging="432"/>
      </w:pPr>
      <w:r>
        <w:rPr>
          <w:rFonts w:ascii="Calibri" w:hAnsi="Calibri"/>
          <w:b/>
          <w:color w:val="1F4E79"/>
          <w:sz w:val="19"/>
        </w:rPr>
        <w:t xml:space="preserve">[9] </w:t>
      </w:r>
      <w:r>
        <w:rPr>
          <w:rFonts w:ascii="Calibri" w:hAnsi="Calibri"/>
          <w:color w:val="2D3748"/>
          <w:sz w:val="19"/>
        </w:rPr>
        <w:t xml:space="preserve">N. Tomas, J. Li, and H. Huang, "An Empirical Study on Culture, Automation, Measurement, and Sharing of DevSecOps," in Proc. Int. Conf. Cloud Computing, Big Data &amp; IoT (ICCBI), Springer, Cham, 2019, pp. 331–339. </w:t>
      </w:r>
      <w:r>
        <w:fldChar w:fldCharType="begin"/>
      </w:r>
      <w:r>
        <w:instrText xml:space="preserve"> HYPERLINK "https://doi.org/10.1007/978-3-030-43192-1_38" \h </w:instrText>
      </w:r>
      <w:r>
        <w:fldChar w:fldCharType="separate"/>
      </w:r>
      <w:r>
        <w:rPr>
          <w:color w:val="0056B3"/>
          <w:u w:val="single"/>
        </w:rPr>
        <w:t>[DOI/Link]</w:t>
      </w:r>
      <w:r>
        <w:rPr>
          <w:color w:val="0056B3"/>
          <w:u w:val="single"/>
        </w:rPr>
        <w:fldChar w:fldCharType="end"/>
      </w:r>
    </w:p>
    <w:p w14:paraId="0527251E">
      <w:pPr>
        <w:spacing w:after="80"/>
        <w:ind w:left="432" w:hanging="432"/>
      </w:pPr>
      <w:r>
        <w:rPr>
          <w:rFonts w:ascii="Calibri" w:hAnsi="Calibri"/>
          <w:b/>
          <w:color w:val="1F4E79"/>
          <w:sz w:val="19"/>
        </w:rPr>
        <w:t xml:space="preserve">[10] </w:t>
      </w:r>
      <w:r>
        <w:rPr>
          <w:rFonts w:ascii="Calibri" w:hAnsi="Calibri"/>
          <w:color w:val="2D3748"/>
          <w:sz w:val="19"/>
        </w:rPr>
        <w:t xml:space="preserve">R. Mao, H. Zhou, B. Shen, L. Chen, and Y. Lu, "Revisit security in the era of DevOps: An evidence-based inquiry into DevSecOps industry," Journal of Systems and Software, vol. 197, art. 111582, Mar. 2023. </w:t>
      </w:r>
      <w:r>
        <w:fldChar w:fldCharType="begin"/>
      </w:r>
      <w:r>
        <w:instrText xml:space="preserve"> HYPERLINK "https://doi.org/10.1016/j.jss.2022.111582" \h </w:instrText>
      </w:r>
      <w:r>
        <w:fldChar w:fldCharType="separate"/>
      </w:r>
      <w:r>
        <w:rPr>
          <w:color w:val="0056B3"/>
          <w:u w:val="single"/>
        </w:rPr>
        <w:t>[DOI/Link]</w:t>
      </w:r>
      <w:r>
        <w:rPr>
          <w:color w:val="0056B3"/>
          <w:u w:val="single"/>
        </w:rPr>
        <w:fldChar w:fldCharType="end"/>
      </w:r>
    </w:p>
    <w:p w14:paraId="359C5CCB">
      <w:pPr>
        <w:spacing w:after="80"/>
        <w:ind w:left="432" w:hanging="432"/>
      </w:pPr>
      <w:r>
        <w:rPr>
          <w:rFonts w:ascii="Calibri" w:hAnsi="Calibri"/>
          <w:b/>
          <w:color w:val="1F4E79"/>
          <w:sz w:val="19"/>
        </w:rPr>
        <w:t xml:space="preserve">[11] </w:t>
      </w:r>
      <w:r>
        <w:rPr>
          <w:rFonts w:ascii="Calibri" w:hAnsi="Calibri"/>
          <w:color w:val="2D3748"/>
          <w:sz w:val="19"/>
        </w:rPr>
        <w:t xml:space="preserve">M. Shahin, M. A. Babar, and L. Zhu, "Continuous Integration, Delivery and Deployment: A Systematic Review on Approaches, Tools, Challenges and Practices," IEEE Access, vol. 5, pp. 3909–3943, Mar. 2017. </w:t>
      </w:r>
      <w:r>
        <w:fldChar w:fldCharType="begin"/>
      </w:r>
      <w:r>
        <w:instrText xml:space="preserve"> HYPERLINK "https://doi.org/10.1109/ACCESS.2017.2685629" \h </w:instrText>
      </w:r>
      <w:r>
        <w:fldChar w:fldCharType="separate"/>
      </w:r>
      <w:r>
        <w:rPr>
          <w:color w:val="0056B3"/>
          <w:u w:val="single"/>
        </w:rPr>
        <w:t>[DOI/Link]</w:t>
      </w:r>
      <w:r>
        <w:rPr>
          <w:color w:val="0056B3"/>
          <w:u w:val="single"/>
        </w:rPr>
        <w:fldChar w:fldCharType="end"/>
      </w:r>
    </w:p>
    <w:p w14:paraId="0A0E913E">
      <w:pPr>
        <w:spacing w:after="80"/>
        <w:ind w:left="432" w:hanging="432"/>
      </w:pPr>
      <w:r>
        <w:rPr>
          <w:rFonts w:ascii="Calibri" w:hAnsi="Calibri"/>
          <w:b/>
          <w:color w:val="1F4E79"/>
          <w:sz w:val="19"/>
        </w:rPr>
        <w:t xml:space="preserve">[12] </w:t>
      </w:r>
      <w:r>
        <w:rPr>
          <w:rFonts w:ascii="Calibri" w:hAnsi="Calibri"/>
          <w:color w:val="2D3748"/>
          <w:sz w:val="19"/>
        </w:rPr>
        <w:t xml:space="preserve">K. Gallaba and S. McIntosh, "Use and misuse of Continuous Integration features: An empirical study of GitHub Actions," in Proc. IEEE International Conference on Software Maintenance and Evolution (ICSME), 2020, pp. 11–22. </w:t>
      </w:r>
      <w:r>
        <w:fldChar w:fldCharType="begin"/>
      </w:r>
      <w:r>
        <w:instrText xml:space="preserve"> HYPERLINK "https://doi.org/10.1109/ICSME46990.2020.00012" \h </w:instrText>
      </w:r>
      <w:r>
        <w:fldChar w:fldCharType="separate"/>
      </w:r>
      <w:r>
        <w:rPr>
          <w:color w:val="0056B3"/>
          <w:u w:val="single"/>
        </w:rPr>
        <w:t>[DOI/Link]</w:t>
      </w:r>
      <w:r>
        <w:rPr>
          <w:color w:val="0056B3"/>
          <w:u w:val="single"/>
        </w:rPr>
        <w:fldChar w:fldCharType="end"/>
      </w:r>
    </w:p>
    <w:p w14:paraId="5C0F9504">
      <w:pPr>
        <w:spacing w:after="80"/>
        <w:ind w:left="432" w:hanging="432"/>
      </w:pPr>
      <w:r>
        <w:rPr>
          <w:rFonts w:ascii="Calibri" w:hAnsi="Calibri"/>
          <w:b/>
          <w:color w:val="1F4E79"/>
          <w:sz w:val="19"/>
        </w:rPr>
        <w:t xml:space="preserve">[13] </w:t>
      </w:r>
      <w:r>
        <w:rPr>
          <w:rFonts w:ascii="Calibri" w:hAnsi="Calibri"/>
          <w:color w:val="2D3748"/>
          <w:sz w:val="19"/>
        </w:rPr>
        <w:t xml:space="preserve">C. Ebert, G. Gallardo, J. Hernantes, and P. Serrano, "DevOps," IEEE Software, vol. 33, no. 3, pp. 94–100, May-Jun. 2016. </w:t>
      </w:r>
      <w:r>
        <w:fldChar w:fldCharType="begin"/>
      </w:r>
      <w:r>
        <w:instrText xml:space="preserve"> HYPERLINK "https://doi.org/10.1109/MS.2016.68" \h </w:instrText>
      </w:r>
      <w:r>
        <w:fldChar w:fldCharType="separate"/>
      </w:r>
      <w:r>
        <w:rPr>
          <w:color w:val="0056B3"/>
          <w:u w:val="single"/>
        </w:rPr>
        <w:t>[DOI/Link]</w:t>
      </w:r>
      <w:r>
        <w:rPr>
          <w:color w:val="0056B3"/>
          <w:u w:val="single"/>
        </w:rPr>
        <w:fldChar w:fldCharType="end"/>
      </w:r>
    </w:p>
    <w:p w14:paraId="3ACB7086">
      <w:pPr>
        <w:spacing w:after="80"/>
        <w:ind w:left="432" w:hanging="432"/>
      </w:pPr>
      <w:r>
        <w:rPr>
          <w:rFonts w:ascii="Calibri" w:hAnsi="Calibri"/>
          <w:b/>
          <w:color w:val="1F4E79"/>
          <w:sz w:val="19"/>
        </w:rPr>
        <w:t xml:space="preserve">[14] </w:t>
      </w:r>
      <w:r>
        <w:rPr>
          <w:rFonts w:ascii="Calibri" w:hAnsi="Calibri"/>
          <w:color w:val="2D3748"/>
          <w:sz w:val="19"/>
        </w:rPr>
        <w:t xml:space="preserve">M. Kerrisk, The Linux Programming Interface: A Linux and UNIX System Programming Handbook, San Francisco, CA: No Starch Press / IEEE Computer Society Reference, 2010. ISBN: 978-1-59327-220-3. </w:t>
      </w:r>
      <w:r>
        <w:fldChar w:fldCharType="begin"/>
      </w:r>
      <w:r>
        <w:instrText xml:space="preserve"> HYPERLINK "https://man7.org/tlpi/" \h </w:instrText>
      </w:r>
      <w:r>
        <w:fldChar w:fldCharType="separate"/>
      </w:r>
      <w:r>
        <w:rPr>
          <w:color w:val="0056B3"/>
          <w:u w:val="single"/>
        </w:rPr>
        <w:t>[DOI/Link]</w:t>
      </w:r>
      <w:r>
        <w:rPr>
          <w:color w:val="0056B3"/>
          <w:u w:val="single"/>
        </w:rPr>
        <w:fldChar w:fldCharType="end"/>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B206B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5362</Words>
  <Characters>34295</Characters>
  <Lines>0</Lines>
  <Paragraphs>0</Paragraphs>
  <TotalTime>0</TotalTime>
  <ScaleCrop>false</ScaleCrop>
  <LinksUpToDate>false</LinksUpToDate>
  <CharactersWithSpaces>39126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Vishal Vadla</cp:lastModifiedBy>
  <dcterms:modified xsi:type="dcterms:W3CDTF">2026-10-17T06:53:16Z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eyJoZGlkIjoiMDJkOWNkMDE5Y2EyM2NmNzJlMjk5OGYyZjE4MjEzN2UiLCJ1c2VySWQiOiI1Njc2MDc5MTUyNDIifQ==</vt:lpwstr>
  </property>
  <property fmtid="{D5CDD505-2E9C-101B-9397-08002B2CF9AE}" pid="3" name="KSOProductBuildVer">
    <vt:lpwstr>1033-12.1.0.29162</vt:lpwstr>
  </property>
  <property fmtid="{D5CDD505-2E9C-101B-9397-08002B2CF9AE}" pid="4" name="ICV">
    <vt:lpwstr>D3C03D16FE4E4D81B6F3080D76E024B8_12</vt:lpwstr>
  </property>
</Properties>
</file>