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Модель.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решения задачи применена архитектура MultiOutputRegressor в сочетании с RandomForestRegressor. Данный подход предусматривает обучение отдельного регрессора для каждого типа дефекта при использовании общего набора признаков. </w:t>
        <w:br w:type="textWrapping"/>
        <w:br w:type="textWrapping"/>
        <w:t xml:space="preserve">RandomForestRegressor представляет собой ансамблевый алгоритм машинного обучения, предназначенный для решения задач регрессии (прогнозирования непрерывных величин). Его работа основана на комбинировании прогнозов множества деревьев решений.</w:t>
        <w:br w:type="textWrapping"/>
        <w:t xml:space="preserve">Конфигурация гиперпараметров включает: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n_estimators=200 (количество деревьев в ансамбле)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max_depth=25 (максимальная глубина деревьев)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min_samples_split=5 (минимальное количество samples для разделения)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random_state=42 (seed для воспроизводимости результатов)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n_jobs=-1 (параллельные вычисления на всех ядрах CPU)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Подбор гиперпараметров выполнен с использованием библиотеки Optuna с проведением 100 испытаний. Варьируемые гиперпараметры включали: n_estimators (50-500), max_depth (5-50), min_samples_split (2-20) и max_features (категориальный (“auto”, “sqrt”, “log2”)). В результате оптимизации была найдена конфигурация, обеспечивающая наилучшее качество модели по метрике MSE.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Выбор Random Forest обоснован следующими факторами: устойчивость к шуму (бэггинг и агрегирование предсказаний уменьшают влияние выбросов и помех в промышленных данных), интерпретируемость (возможность анализа важности признаков для каждого типа дефекта), эффективность на умеренных объемах данных (оптимальное соотношение точности и вычислительной сложности).</w:t>
        <w:br w:type="textWrapping"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Предобработка данных для обучения модели.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Разметка основана на анализе характерных частот дефектов, вычисляемых по геометрическим параметрам подшипника NSK6205DDU. </w:t>
        <w:br w:type="textWrapping"/>
        <w:t xml:space="preserve">Параметры подшипника: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266700" cy="76200"/>
              <wp:effectExtent b="0" l="0" r="0" t="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=9 (количество тел качения)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228600" cy="114300"/>
              <wp:effectExtent b="0" l="0" r="0" t="0"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=7.94e-3 м (диаметр тела качения)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533400" cy="114300"/>
              <wp:effectExtent b="0" l="0" r="0" t="0"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=39.04e-3 м (диаметр делительной окружности)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50800" cy="101600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=0 радиан (угол контакта)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317500" cy="114300"/>
              <wp:effectExtent b="0" l="0" r="0" t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=29.5 Гц (частота вращения ротора)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Характерные частоты дефектов рассчитываются по формулам: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наружного кольца  </w:t>
        <w:br w:type="textWrapping"/>
      </w:r>
      <w:hyperlink r:id="rId16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3048000" cy="368300"/>
              <wp:effectExtent b="0" l="0" r="0" t="0"/>
              <wp:docPr id="1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внутреннего кольца </w:t>
        <w:br w:type="textWrapping"/>
      </w:r>
      <w:hyperlink r:id="rId18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2730500" cy="342900"/>
              <wp:effectExtent b="0" l="0" r="0" t="0"/>
              <wp:docPr id="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305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тел качения </w:t>
        <w:br w:type="textWrapping"/>
      </w:r>
      <w:hyperlink r:id="rId20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3581400" cy="457200"/>
              <wp:effectExtent b="0" l="0" r="0" t="0"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81400" cy="457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сепаратора </w:t>
        <w:br w:type="textWrapping"/>
      </w:r>
      <w:hyperlink r:id="rId22">
        <w:r w:rsidDel="00000000" w:rsidR="00000000" w:rsidRPr="00000000">
          <w:rPr>
            <w:rFonts w:ascii="Times New Roman" w:cs="Times New Roman" w:eastAsia="Times New Roman" w:hAnsi="Times New Roman"/>
          </w:rPr>
          <w:drawing>
            <wp:inline distB="19050" distT="19050" distL="19050" distR="19050">
              <wp:extent cx="2247900" cy="342900"/>
              <wp:effectExtent b="0" l="0" r="0" t="0"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79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t xml:space="preserve">Применяются методы анализа сигналов: анализ огибающей (выделение низкочастотной модуляции с помощью преобразования Гильберта), спектральный анализ (определение энергии в окрестностях характерных частот), фазовый анализ (корреляционный анализ для выявления расцентровки), статистический анализ (вычисление моментов распределения сигнала). Метки нормализуются в диапазон [0, 1] с использованием 95-го перцентиля для обеспечения сопоставимости между различными режимами работы оборудования.</w:t>
        <w:br w:type="textWrapping"/>
        <w:br w:type="textWrapping"/>
        <w:t xml:space="preserve">Распределения нормализованных значений развитий дефектов: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48288" cy="356256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562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Признаки для обучения модели.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Используются временные и спектральные признаки. </w:t>
        <w:br w:type="textWrapping"/>
        <w:t xml:space="preserve">Временные признаки включают: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среднее значение (уровень постоянной составляющей сигнала)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стандартное отклонение (энергия переменной составляющей)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асимметрия (смещение распределения значений)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эксцесс ("острота" распределения пиков)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пиковое значение (максимальная амплитуда сигнала)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фактор амплитуды (отношение пика к среднеквадратичному)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Спектральный признак представлен куртозисом (коэффициент эксцесса) огибающей.</w:t>
        <w:br w:type="textWrapping"/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Выбор признаков основан на физическом анализе проявления дефектов: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дефекты подшипников проявляются в изменении статистических характеристик огибающей сигнала;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дисбаланс и расцентровка влияют на симметрию фаз и гармонический состав;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комбинация временных и спектральных признаков обеспечивает комплексное описание состояния оборудования.</w:t>
        <w:br w:type="textWrapping"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Метрики оценки качества.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Основной метрикой для оценки ошибки предсказания является RMSE (Root Mean Square Error). Результаты оценки модели на тестовой выборке, которая составляет 20% от всех данных, показывают: </w:t>
        <w:br w:type="textWrapping"/>
        <w:t xml:space="preserve">для дефекта наружного кольца RMSE составляет 0.0568 при точности обнаружения 92-95% и ложных срабатываниях 5-8%; </w:t>
        <w:br w:type="textWrapping"/>
        <w:t xml:space="preserve">для дефекта внутреннего кольца - RMSE 0.0291, точность 97-99%, ложные срабатывания 1-3%;</w:t>
        <w:br w:type="textWrapping"/>
        <w:t xml:space="preserve">для дефекта тел качения - RMSE 0.0501, точность 90-93%, ложные срабатывания 7-10%;</w:t>
        <w:br w:type="textWrapping"/>
        <w:t xml:space="preserve">для дефекта сепаратора - RMSE 0.0308, точность 96-98%, ложные срабатывания 2-4%;</w:t>
        <w:br w:type="textWrapping"/>
        <w:t xml:space="preserve">для дисбаланса - RMSE 0.0001, точность 99.9%, ложные срабатывания менее 0.1%;</w:t>
        <w:br w:type="textWrapping"/>
        <w:t xml:space="preserve">для расцентровки - RMSE 0.0005, точность 99.5%, ложные срабатывания 0.5%.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Оптимизация вычислений.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В процессе оптимизации вычислений для системы предсказания дефектов был применен комплексный подход, сочетающий несколько методов ускорения обработки данных. Основным решением стал переход с стандартных библиотек scikit-learn на высокопроизводительную среду выполнения ONNX Runtime, что позволило значительно ускорить процесс предсказаний. Модель MultiOutputRegressor, содержащая шесть отдельных RandomForestRegressor, была конвертирована в оптимизированный формат ONNX, причем каждый estimator преобразовывался отдельно для обеспечения максимальной совместимости и производительности.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ONNX Runtime обеспечивает низкоуровневые оптимизации, включая объединение операций, эффективное управление памятью и использование SIMD-инструкций процессора, что особенно важно для алгоритмов случайного леса. Дополнительно была реализована векторизация вычислений при извлечении признаков из временных рядов с помощью матричных операций NumPy, позволяющих обрабатывать все фазы данных одновременно вместо последовательной обработки в циклах. Также был оптимизирован механизм работы с памятью через использование массивов NumPy вместо объектов Pandas, что снизило объем используемой памяти и улучшило производительность. Все эти изменения позволили сократить время выполнения предсказаний в 300 раз при сохранении точности результатов. В результате время обработки 1 секунды (25600 записей) составляет около 0.23 секунды, что позволяет проводить предсказания в реальном времени.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cogs.com/eqnedit.php?latex=%5Ctext%7Bbsf%7D%20%3D%20%5Cfrac%7B%5Ctext%7Bpitch%5C_dia%7D%20%5Ccdot%20f_%7B%5Ctext%7Bmotor%7D%7D%7D%7B2%20%5Ccdot%20d_%7B%5Ctext%7Bball%7D%7D%7D%20%5Ccdot%20%5Cleft(1%20-%20%5Cleft(%5Cfrac%7Bd_%7B%5Ctext%7Bball%7D%7D%7D%7B%5Ctext%7Bpitch%5C_dia%7D%7D%5Cright)%5E2%20%5Ccdot%20%5Ccos%5E2(%5Ctheta)%5Cright)#0" TargetMode="External"/><Relationship Id="rId11" Type="http://schemas.openxmlformats.org/officeDocument/2006/relationships/image" Target="media/image7.png"/><Relationship Id="rId22" Type="http://schemas.openxmlformats.org/officeDocument/2006/relationships/hyperlink" Target="https://www.codecogs.com/eqnedit.php?latex=%5Ctext%7Bftf%7D%20%3D%20%5Cfrac%7Bf_%7B%5Ctext%7Bmotor%7D%7D%7D%7B2%7D%20%5Ccdot%20%5Cleft(1%20-%20%5Cfrac%7Bd_%7B%5Ctext%7Bball%7D%7D%7D%7B%5Ctext%7Bpitch%5C_dia%7D%7D%20%5Ccdot%20%5Ccos(%5Ctheta)%5Cright)#0" TargetMode="External"/><Relationship Id="rId10" Type="http://schemas.openxmlformats.org/officeDocument/2006/relationships/hyperlink" Target="https://www.codecogs.com/eqnedit.php?latex=%5Ctext%7Bpitch%5C_dia%7D#0" TargetMode="External"/><Relationship Id="rId21" Type="http://schemas.openxmlformats.org/officeDocument/2006/relationships/image" Target="media/image9.png"/><Relationship Id="rId13" Type="http://schemas.openxmlformats.org/officeDocument/2006/relationships/image" Target="media/image1.png"/><Relationship Id="rId24" Type="http://schemas.openxmlformats.org/officeDocument/2006/relationships/image" Target="media/image2.png"/><Relationship Id="rId12" Type="http://schemas.openxmlformats.org/officeDocument/2006/relationships/hyperlink" Target="https://www.codecogs.com/eqnedit.php?latex=%5Ctheta#0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www.codecogs.com/eqnedit.php?latex=f_%7B%5Ctext%7Bmotor%7D%7D#0" TargetMode="External"/><Relationship Id="rId17" Type="http://schemas.openxmlformats.org/officeDocument/2006/relationships/image" Target="media/image8.png"/><Relationship Id="rId16" Type="http://schemas.openxmlformats.org/officeDocument/2006/relationships/hyperlink" Target="https://www.codecogs.com/eqnedit.php?latex=%5Ctext%7Bbpfo%7D%20%3D%20%5Cfrac%7Bn_%7B%5Ctext%7Bballs%7D%7D%20%5Ccdot%20f_%7B%5Ctext%7Bmotor%7D%7D%7D%7B2%7D%20%5Ccdot%20%5Cleft(1%20-%20%5Cfrac%7Bd_%7B%5Ctext%7Bball%7D%7D%7D%7B%5Ctext%7Bpitch%5C_dia%7D%7D%20%5Ccdot%20%5Ccos(%5Ctheta)%5Cright)#0" TargetMode="External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hyperlink" Target="https://www.codecogs.com/eqnedit.php?latex=n_%7B%5Ctext%7Bballs%7D%7D#0" TargetMode="External"/><Relationship Id="rId18" Type="http://schemas.openxmlformats.org/officeDocument/2006/relationships/hyperlink" Target="https://www.codecogs.com/eqnedit.php?latex=%5Ctext%7Bbpfi%7D%20%3D%20%5Cfrac%7Bn_%7B%5Ctext%7Bballs%7D%7D%20%5Ccdot%20f_%7B%5Ctext%7Bmotor%7D%7D%7D%7B2%7D%20%5Ccdot%20%5Cleft(1%20%2B%20%5Cfrac%7Bd_%7B%5Ctext%7Bball%7D%7D%7D%7B%5Ctext%7Bpitch%5C_dia%7D%7D%20%5Ccdot%20%5Ccos(%5Ctheta)%5Cright)#0" TargetMode="External"/><Relationship Id="rId7" Type="http://schemas.openxmlformats.org/officeDocument/2006/relationships/image" Target="media/image6.png"/><Relationship Id="rId8" Type="http://schemas.openxmlformats.org/officeDocument/2006/relationships/hyperlink" Target="https://www.codecogs.com/eqnedit.php?latex=d_%7B%5Ctext%7Bball%7D%7D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