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9B2C" w14:textId="64D03354" w:rsidR="002B0AF0" w:rsidRDefault="00C325CD" w:rsidP="00AF0D68">
      <w:pPr>
        <w:pStyle w:val="1"/>
        <w:spacing w:line="360" w:lineRule="auto"/>
        <w:rPr>
          <w:lang w:val="en-US"/>
        </w:rPr>
      </w:pPr>
      <w:r>
        <w:rPr>
          <w:lang w:val="en-US"/>
        </w:rPr>
        <w:t>Appendix</w:t>
      </w:r>
      <w:r w:rsidR="005B3817">
        <w:rPr>
          <w:lang w:val="en-US"/>
        </w:rPr>
        <w:t xml:space="preserve"> </w:t>
      </w:r>
      <w:r>
        <w:rPr>
          <w:lang w:val="en-US"/>
        </w:rPr>
        <w:t>– Extreme Boundary Analysis</w:t>
      </w:r>
    </w:p>
    <w:p w14:paraId="6847D98A" w14:textId="66088335" w:rsidR="00C745C8" w:rsidRPr="00C745C8" w:rsidRDefault="00C745C8" w:rsidP="00AF0D68">
      <w:pPr>
        <w:rPr>
          <w:i/>
          <w:iCs/>
          <w:lang w:val="en-US"/>
        </w:rPr>
      </w:pPr>
      <w:r w:rsidRPr="00C745C8">
        <w:rPr>
          <w:i/>
          <w:iCs/>
          <w:lang w:val="en-US"/>
        </w:rPr>
        <w:t>Procedure</w:t>
      </w:r>
    </w:p>
    <w:p w14:paraId="3D6EF160" w14:textId="12290929" w:rsidR="00CE7483" w:rsidRDefault="00CE7483" w:rsidP="00AF0D68">
      <w:pPr>
        <w:rPr>
          <w:lang w:val="en-US"/>
        </w:rPr>
      </w:pPr>
      <w:r w:rsidRPr="00CE7483">
        <w:rPr>
          <w:lang w:val="en-US"/>
        </w:rPr>
        <w:t xml:space="preserve">Extreme </w:t>
      </w:r>
      <w:r w:rsidR="00C745C8">
        <w:rPr>
          <w:lang w:val="en-US"/>
        </w:rPr>
        <w:t>B</w:t>
      </w:r>
      <w:r w:rsidRPr="00CE7483">
        <w:rPr>
          <w:lang w:val="en-US"/>
        </w:rPr>
        <w:t xml:space="preserve">oundary </w:t>
      </w:r>
      <w:r w:rsidR="00C745C8">
        <w:rPr>
          <w:lang w:val="en-US"/>
        </w:rPr>
        <w:t>A</w:t>
      </w:r>
      <w:r w:rsidRPr="00CE7483">
        <w:rPr>
          <w:lang w:val="en-US"/>
        </w:rPr>
        <w:t>nalysis</w:t>
      </w:r>
      <w:r w:rsidR="00C745C8">
        <w:rPr>
          <w:lang w:val="en-US"/>
        </w:rPr>
        <w:t xml:space="preserve"> (EBA)</w:t>
      </w:r>
      <w:r w:rsidRPr="00CE7483">
        <w:rPr>
          <w:lang w:val="en-US"/>
        </w:rPr>
        <w:t xml:space="preserve">, proposed </w:t>
      </w:r>
      <w:r>
        <w:rPr>
          <w:lang w:val="en-US"/>
        </w:rPr>
        <w:t>in its discussed view by Sala-</w:t>
      </w:r>
      <w:proofErr w:type="spellStart"/>
      <w:r>
        <w:rPr>
          <w:lang w:val="en-US"/>
        </w:rPr>
        <w:t>i</w:t>
      </w:r>
      <w:proofErr w:type="spellEnd"/>
      <w:r>
        <w:rPr>
          <w:lang w:val="en-US"/>
        </w:rPr>
        <w:t xml:space="preserve">-Martin </w:t>
      </w:r>
      <w:r>
        <w:rPr>
          <w:lang w:val="en-US"/>
        </w:rPr>
        <w:fldChar w:fldCharType="begin"/>
      </w:r>
      <w:r>
        <w:rPr>
          <w:lang w:val="en-US"/>
        </w:rPr>
        <w:instrText xml:space="preserve"> ADDIN ZOTERO_ITEM CSL_CITATION {"citationID":"LxrSNxLQ","properties":{"formattedCitation":"(1997)","plainCitation":"(1997)","noteIndex":0},"citationItems":[{"id":97,"uris":["http://zotero.org/users/9380878/items/ACMLGXD4"],"itemData":{"id":97,"type":"article-journal","DOI":"10.3386/w6252","issue":"2","journalAbbreviation":"American Economic Review","page":"178-183","title":"I Just Ran Two Million Regressions","volume":"87","author":[{"family":"Sala-i-Martin","given":"X."}],"issued":{"date-parts":[["1997"]]}},"label":"page","suppress-author":true}],"schema":"https://github.com/citation-style-language/schema/raw/master/csl-citation.json"} </w:instrText>
      </w:r>
      <w:r>
        <w:rPr>
          <w:lang w:val="en-US"/>
        </w:rPr>
        <w:fldChar w:fldCharType="separate"/>
      </w:r>
      <w:r>
        <w:rPr>
          <w:noProof/>
          <w:lang w:val="en-US"/>
        </w:rPr>
        <w:t>(1997)</w:t>
      </w:r>
      <w:r>
        <w:rPr>
          <w:lang w:val="en-US"/>
        </w:rPr>
        <w:fldChar w:fldCharType="end"/>
      </w:r>
      <w:r>
        <w:rPr>
          <w:lang w:val="en-US"/>
        </w:rPr>
        <w:t xml:space="preserve"> </w:t>
      </w:r>
      <w:r w:rsidR="00771DEF" w:rsidRPr="00771DEF">
        <w:rPr>
          <w:lang w:val="en-US"/>
        </w:rPr>
        <w:t>subsequent modifications proposed by other authors</w:t>
      </w:r>
      <w:r>
        <w:rPr>
          <w:lang w:val="en-US"/>
        </w:rPr>
        <w:t xml:space="preserve"> </w:t>
      </w:r>
      <w:r>
        <w:rPr>
          <w:lang w:val="en-US"/>
        </w:rPr>
        <w:fldChar w:fldCharType="begin"/>
      </w:r>
      <w:r>
        <w:rPr>
          <w:lang w:val="en-US"/>
        </w:rPr>
        <w:instrText xml:space="preserve"> ADDIN ZOTERO_ITEM CSL_CITATION {"citationID":"eWRptWxv","properties":{"formattedCitation":"(Hegre and Sambanis 2006)","plainCitation":"(Hegre and Sambanis 2006)","noteIndex":0},"citationItems":[{"id":118,"uris":["http://zotero.org/users/9380878/items/4VCC9TNE"],"itemData":{"id":118,"type":"article-journal","container-title":"Journal of Conflict Resolution","DOI":"10.1177/0022002706289303","ISSN":"0022-0027","issue":"4","journalAbbreviation":"Journal of Conflict Resolution","note":"publisher: SAGE Publications","page":"508-535","title":"Sensitivity Analysis of Empirical Results on Civil War Onset","volume":"50","author":[{"family":"Hegre","given":"Håvard"},{"family":"Sambanis","given":"Nicholas"}],"issued":{"date-parts":[["2006"]]}}}],"schema":"https://github.com/citation-style-language/schema/raw/master/csl-citation.json"} </w:instrText>
      </w:r>
      <w:r>
        <w:rPr>
          <w:lang w:val="en-US"/>
        </w:rPr>
        <w:fldChar w:fldCharType="separate"/>
      </w:r>
      <w:r>
        <w:rPr>
          <w:noProof/>
          <w:lang w:val="en-US"/>
        </w:rPr>
        <w:t>(Hegre and Sambanis 2006)</w:t>
      </w:r>
      <w:r>
        <w:rPr>
          <w:lang w:val="en-US"/>
        </w:rPr>
        <w:fldChar w:fldCharType="end"/>
      </w:r>
      <w:r w:rsidRPr="00CE7483">
        <w:rPr>
          <w:lang w:val="en-US"/>
        </w:rPr>
        <w:t xml:space="preserve">, </w:t>
      </w:r>
      <w:r w:rsidR="00771DEF" w:rsidRPr="00771DEF">
        <w:rPr>
          <w:lang w:val="en-US"/>
        </w:rPr>
        <w:t xml:space="preserve">is a method for testing the robustness of an estimate of a variable by running models with all possible combinations of </w:t>
      </w:r>
      <w:r w:rsidR="00771DEF">
        <w:rPr>
          <w:lang w:val="en-US"/>
        </w:rPr>
        <w:t>other variables</w:t>
      </w:r>
      <w:r w:rsidRPr="00CE7483">
        <w:rPr>
          <w:lang w:val="en-US"/>
        </w:rPr>
        <w:t>.</w:t>
      </w:r>
      <w:r w:rsidR="00875114">
        <w:rPr>
          <w:lang w:val="en-US"/>
        </w:rPr>
        <w:t xml:space="preserve"> </w:t>
      </w:r>
      <w:r w:rsidR="00771DEF" w:rsidRPr="00771DEF">
        <w:rPr>
          <w:lang w:val="en-US"/>
        </w:rPr>
        <w:t>This paper employs EBA for two purposes</w:t>
      </w:r>
      <w:r w:rsidR="00771DEF">
        <w:rPr>
          <w:lang w:val="en-US"/>
        </w:rPr>
        <w:t xml:space="preserve">. </w:t>
      </w:r>
      <w:r w:rsidR="00771DEF" w:rsidRPr="00771DEF">
        <w:rPr>
          <w:lang w:val="en-US"/>
        </w:rPr>
        <w:t>The first aim is to assess the sensitivity of income level estimates. The second is to examine the extent of bias associated with "omitted variables" or "selection bias" problems. To simplify, if both linear and quadratic terms of GDP per capita have theoretically predicted significant effect</w:t>
      </w:r>
      <w:r w:rsidR="00771DEF">
        <w:rPr>
          <w:lang w:val="en-US"/>
        </w:rPr>
        <w:t xml:space="preserve"> </w:t>
      </w:r>
      <w:r w:rsidR="00515014">
        <w:rPr>
          <w:lang w:val="en-US"/>
        </w:rPr>
        <w:t>(positive and negative correspondingly to produce inverted “U”-shape), one can conclude that the result is robust and is unlikely to be</w:t>
      </w:r>
      <w:r w:rsidR="006875D5">
        <w:rPr>
          <w:lang w:val="en-US"/>
        </w:rPr>
        <w:t xml:space="preserve"> highly</w:t>
      </w:r>
      <w:r w:rsidR="00515014">
        <w:rPr>
          <w:lang w:val="en-US"/>
        </w:rPr>
        <w:t xml:space="preserve"> </w:t>
      </w:r>
      <w:r w:rsidR="00812A5D">
        <w:rPr>
          <w:lang w:val="en-US"/>
        </w:rPr>
        <w:t>affected by</w:t>
      </w:r>
      <w:r w:rsidR="00515014">
        <w:rPr>
          <w:lang w:val="en-US"/>
        </w:rPr>
        <w:t xml:space="preserve"> endogeneity.  </w:t>
      </w:r>
    </w:p>
    <w:p w14:paraId="1D369399" w14:textId="77777777" w:rsidR="00771DEF" w:rsidRDefault="00771DEF" w:rsidP="00AF0D68">
      <w:pPr>
        <w:rPr>
          <w:lang w:val="en-US"/>
        </w:rPr>
      </w:pPr>
    </w:p>
    <w:p w14:paraId="1198AD18" w14:textId="79023A4D" w:rsidR="00CE7483" w:rsidRDefault="00CE7483" w:rsidP="00AF0D68">
      <w:pPr>
        <w:rPr>
          <w:lang w:val="en-US"/>
        </w:rPr>
      </w:pPr>
      <w:r w:rsidRPr="00CE7483">
        <w:rPr>
          <w:lang w:val="en-US"/>
        </w:rPr>
        <w:t>Assume we have</w:t>
      </w:r>
      <w:r w:rsidR="00812A5D">
        <w:rPr>
          <w:lang w:val="en-US"/>
        </w:rPr>
        <w:t xml:space="preserve"> a</w:t>
      </w:r>
      <w:r w:rsidRPr="00CE7483">
        <w:rPr>
          <w:lang w:val="en-US"/>
        </w:rPr>
        <w:t xml:space="preserve"> following model:</w:t>
      </w:r>
    </w:p>
    <w:p w14:paraId="402EDC81" w14:textId="6F53EDE2" w:rsidR="00CE7483" w:rsidRPr="00D7687A" w:rsidRDefault="00000000" w:rsidP="00AF0D68">
      <w:pPr>
        <w:rPr>
          <w:i/>
          <w:iCs/>
          <w:lang w:val="en-US"/>
        </w:rPr>
      </w:pPr>
      <m:oMathPara>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FE</m:t>
              </m:r>
            </m:sub>
          </m:sSub>
          <m:r>
            <w:rPr>
              <w:rFonts w:ascii="Cambria Math" w:hAnsi="Cambria Math"/>
              <w:lang w:val="en-US"/>
            </w:rPr>
            <m:t>+β</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k</m:t>
              </m:r>
            </m:sub>
            <m:sup/>
            <m:e>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k</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k,i,t</m:t>
                  </m:r>
                </m:sub>
              </m:sSub>
            </m:e>
          </m:nary>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i,t</m:t>
              </m:r>
            </m:sub>
          </m:sSub>
        </m:oMath>
      </m:oMathPara>
    </w:p>
    <w:p w14:paraId="6BC16F8C" w14:textId="1B80C307" w:rsidR="00CE7483" w:rsidRPr="00CE7483" w:rsidRDefault="00CE7483" w:rsidP="00AF0D68">
      <w:pPr>
        <w:rPr>
          <w:lang w:val="en-US"/>
        </w:rPr>
      </w:pPr>
      <w:r w:rsidRPr="00CE7483">
        <w:rPr>
          <w:lang w:val="en-US"/>
        </w:rPr>
        <w:t xml:space="preserve">where </w:t>
      </w:r>
      <w:r w:rsidRPr="00CE7483">
        <w:rPr>
          <w:i/>
          <w:iCs/>
          <w:lang w:val="en-US"/>
        </w:rPr>
        <w:t xml:space="preserve">y </w:t>
      </w:r>
      <w:r w:rsidRPr="00CE7483">
        <w:rPr>
          <w:lang w:val="en-US"/>
        </w:rPr>
        <w:t>is dependent variable</w:t>
      </w:r>
      <w:r>
        <w:rPr>
          <w:lang w:val="en-US"/>
        </w:rPr>
        <w:t xml:space="preserve"> (in our case – binary variable for</w:t>
      </w:r>
      <w:r w:rsidR="00812A5D">
        <w:rPr>
          <w:lang w:val="en-US"/>
        </w:rPr>
        <w:t xml:space="preserve"> unarmed</w:t>
      </w:r>
      <w:r>
        <w:rPr>
          <w:lang w:val="en-US"/>
        </w:rPr>
        <w:t xml:space="preserve"> revolutions)</w:t>
      </w:r>
      <w:r w:rsidRPr="00CE7483">
        <w:rPr>
          <w:lang w:val="en-US"/>
        </w:rPr>
        <w:t xml:space="preserve">, </w:t>
      </w:r>
      <w:r w:rsidRPr="00CE7483">
        <w:rPr>
          <w:i/>
          <w:iCs/>
          <w:lang w:val="en-US"/>
        </w:rPr>
        <w:t>x</w:t>
      </w:r>
      <w:r w:rsidRPr="00CE7483">
        <w:rPr>
          <w:lang w:val="en-US"/>
        </w:rPr>
        <w:t xml:space="preserve"> - main independent variable under </w:t>
      </w:r>
      <w:r w:rsidR="00812A5D">
        <w:rPr>
          <w:lang w:val="en-US"/>
        </w:rPr>
        <w:t>consideration</w:t>
      </w:r>
      <w:r>
        <w:rPr>
          <w:lang w:val="en-US"/>
        </w:rPr>
        <w:t xml:space="preserve"> (GDP per capita)</w:t>
      </w:r>
      <w:r w:rsidRPr="00CE7483">
        <w:rPr>
          <w:lang w:val="en-US"/>
        </w:rPr>
        <w:t xml:space="preserve">, </w:t>
      </w:r>
      <w:r w:rsidRPr="00CE7483">
        <w:rPr>
          <w:i/>
          <w:iCs/>
          <w:lang w:val="en-US"/>
        </w:rPr>
        <w:t>z</w:t>
      </w:r>
      <w:r>
        <w:rPr>
          <w:lang w:val="en-US"/>
        </w:rPr>
        <w:t xml:space="preserve"> </w:t>
      </w:r>
      <w:r w:rsidRPr="00CE7483">
        <w:rPr>
          <w:lang w:val="en-US"/>
        </w:rPr>
        <w:t xml:space="preserve">- control variable from a set of </w:t>
      </w:r>
      <w:r w:rsidRPr="00CE7483">
        <w:rPr>
          <w:i/>
          <w:iCs/>
          <w:lang w:val="en-US"/>
        </w:rPr>
        <w:t xml:space="preserve">k </w:t>
      </w:r>
      <w:r w:rsidRPr="00CE7483">
        <w:rPr>
          <w:lang w:val="en-US"/>
        </w:rPr>
        <w:t xml:space="preserve">variables, and </w:t>
      </w:r>
      <m:oMath>
        <m:r>
          <m:rPr>
            <m:sty m:val="p"/>
          </m:rPr>
          <w:rPr>
            <w:rFonts w:ascii="Cambria Math" w:hAnsi="Cambria Math"/>
            <w:lang w:val="en-US"/>
          </w:rPr>
          <m:t xml:space="preserve">α </m:t>
        </m:r>
      </m:oMath>
      <w:r w:rsidRPr="00CE7483">
        <w:rPr>
          <w:lang w:val="en-US"/>
        </w:rPr>
        <w:t>- dummy variables for fixed effects</w:t>
      </w:r>
      <w:r>
        <w:rPr>
          <w:lang w:val="en-US"/>
        </w:rPr>
        <w:t xml:space="preserve"> (years)</w:t>
      </w:r>
      <w:r w:rsidRPr="00CE7483">
        <w:rPr>
          <w:lang w:val="en-US"/>
        </w:rPr>
        <w:t xml:space="preserve">. </w:t>
      </w:r>
    </w:p>
    <w:p w14:paraId="004DC00C" w14:textId="1FEA9B73" w:rsidR="00CE7483" w:rsidRDefault="004411E1" w:rsidP="00AF0D68">
      <w:pPr>
        <w:rPr>
          <w:lang w:val="en-US"/>
        </w:rPr>
      </w:pPr>
      <w:r>
        <w:rPr>
          <w:lang w:val="en-US"/>
        </w:rPr>
        <w:t>I</w:t>
      </w:r>
      <w:r w:rsidR="00CE7483" w:rsidRPr="00CE7483">
        <w:rPr>
          <w:lang w:val="en-US"/>
        </w:rPr>
        <w:t xml:space="preserve"> run models with all possible combination</w:t>
      </w:r>
      <w:r w:rsidR="00CE7483">
        <w:rPr>
          <w:lang w:val="en-US"/>
        </w:rPr>
        <w:t>s</w:t>
      </w:r>
      <w:r w:rsidR="00CE7483" w:rsidRPr="00CE7483">
        <w:rPr>
          <w:lang w:val="en-US"/>
        </w:rPr>
        <w:t xml:space="preserve"> of control variables </w:t>
      </w:r>
      <w:r w:rsidR="00CE7483" w:rsidRPr="00CE7483">
        <w:rPr>
          <w:i/>
          <w:iCs/>
          <w:lang w:val="en-US"/>
        </w:rPr>
        <w:t>z</w:t>
      </w:r>
      <w:r>
        <w:rPr>
          <w:lang w:val="en-US"/>
        </w:rPr>
        <w:t xml:space="preserve"> and </w:t>
      </w:r>
      <w:r w:rsidR="00CE7483" w:rsidRPr="00CE7483">
        <w:rPr>
          <w:lang w:val="en-US"/>
        </w:rPr>
        <w:t>have</w:t>
      </w:r>
      <w:r w:rsidR="00CE7483">
        <w:rPr>
          <w:lang w:val="en-US"/>
        </w:rPr>
        <w:t xml:space="preserve"> </w:t>
      </w:r>
      <m:oMath>
        <m:nary>
          <m:naryPr>
            <m:chr m:val="∑"/>
            <m:supHide m:val="1"/>
            <m:ctrlPr>
              <w:rPr>
                <w:rFonts w:ascii="Cambria Math" w:hAnsi="Cambria Math"/>
                <w:lang w:val="en-US"/>
              </w:rPr>
            </m:ctrlPr>
          </m:naryPr>
          <m:sub>
            <m:r>
              <m:rPr>
                <m:sty m:val="p"/>
              </m:rPr>
              <w:rPr>
                <w:rFonts w:ascii="Cambria Math" w:hAnsi="Cambria Math"/>
                <w:lang w:val="en-US"/>
              </w:rPr>
              <m:t>m</m:t>
            </m:r>
          </m:sub>
          <m:sup/>
          <m:e>
            <m:sSubSup>
              <m:sSubSupPr>
                <m:ctrlPr>
                  <w:rPr>
                    <w:rFonts w:ascii="Cambria Math" w:hAnsi="Cambria Math"/>
                    <w:lang w:val="en-US"/>
                  </w:rPr>
                </m:ctrlPr>
              </m:sSubSupPr>
              <m:e>
                <m:r>
                  <m:rPr>
                    <m:sty m:val="p"/>
                  </m:rPr>
                  <w:rPr>
                    <w:rFonts w:ascii="Cambria Math" w:hAnsi="Cambria Math"/>
                    <w:lang w:val="en-US"/>
                  </w:rPr>
                  <m:t>C</m:t>
                </m:r>
              </m:e>
              <m:sub>
                <m:r>
                  <m:rPr>
                    <m:sty m:val="p"/>
                  </m:rPr>
                  <w:rPr>
                    <w:rFonts w:ascii="Cambria Math" w:hAnsi="Cambria Math"/>
                    <w:lang w:val="en-US"/>
                  </w:rPr>
                  <m:t>n</m:t>
                </m:r>
              </m:sub>
              <m:sup>
                <m:r>
                  <m:rPr>
                    <m:sty m:val="p"/>
                  </m:rPr>
                  <w:rPr>
                    <w:rFonts w:ascii="Cambria Math" w:hAnsi="Cambria Math"/>
                    <w:lang w:val="en-US"/>
                  </w:rPr>
                  <m:t>m</m:t>
                </m:r>
              </m:sup>
            </m:sSubSup>
          </m:e>
        </m:nary>
        <m:r>
          <m:rPr>
            <m:sty m:val="p"/>
          </m:rPr>
          <w:rPr>
            <w:rFonts w:ascii="Cambria Math" w:hAnsi="Cambria Math"/>
            <w:lang w:val="en-US"/>
          </w:rPr>
          <m:t>=</m:t>
        </m:r>
        <m:nary>
          <m:naryPr>
            <m:chr m:val="∑"/>
            <m:supHide m:val="1"/>
            <m:ctrlPr>
              <w:rPr>
                <w:rFonts w:ascii="Cambria Math" w:hAnsi="Cambria Math"/>
                <w:lang w:val="en-US"/>
              </w:rPr>
            </m:ctrlPr>
          </m:naryPr>
          <m:sub>
            <m:r>
              <m:rPr>
                <m:sty m:val="p"/>
              </m:rPr>
              <w:rPr>
                <w:rFonts w:ascii="Cambria Math" w:hAnsi="Cambria Math"/>
                <w:lang w:val="en-US"/>
              </w:rPr>
              <m:t>m</m:t>
            </m:r>
          </m:sub>
          <m:sup/>
          <m:e>
            <m:f>
              <m:fPr>
                <m:ctrlPr>
                  <w:rPr>
                    <w:rFonts w:ascii="Cambria Math" w:hAnsi="Cambria Math"/>
                    <w:lang w:val="en-US"/>
                  </w:rPr>
                </m:ctrlPr>
              </m:fPr>
              <m:num>
                <m:r>
                  <m:rPr>
                    <m:sty m:val="p"/>
                  </m:rPr>
                  <w:rPr>
                    <w:rFonts w:ascii="Cambria Math" w:hAnsi="Cambria Math"/>
                    <w:lang w:val="en-US"/>
                  </w:rPr>
                  <m:t>n!</m:t>
                </m:r>
              </m:num>
              <m:den>
                <m:r>
                  <m:rPr>
                    <m:sty m:val="p"/>
                  </m:rP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n-m</m:t>
                    </m:r>
                  </m:e>
                </m:d>
                <m:r>
                  <m:rPr>
                    <m:sty m:val="p"/>
                  </m:rPr>
                  <w:rPr>
                    <w:rFonts w:ascii="Cambria Math" w:hAnsi="Cambria Math"/>
                    <w:lang w:val="en-US"/>
                  </w:rPr>
                  <m:t>!</m:t>
                </m:r>
              </m:den>
            </m:f>
          </m:e>
        </m:nary>
      </m:oMath>
      <w:r w:rsidR="00CE7483" w:rsidRPr="00CE7483">
        <w:rPr>
          <w:lang w:val="en-US"/>
        </w:rPr>
        <w:t xml:space="preserve"> </w:t>
      </w:r>
      <w:r w:rsidR="00CE7483">
        <w:rPr>
          <w:lang w:val="en-US"/>
        </w:rPr>
        <w:t xml:space="preserve"> </w:t>
      </w:r>
      <w:r w:rsidR="00CE7483" w:rsidRPr="00CE7483">
        <w:rPr>
          <w:lang w:val="en-US"/>
        </w:rPr>
        <w:t>number of models</w:t>
      </w:r>
      <w:r w:rsidR="00E84453">
        <w:rPr>
          <w:lang w:val="en-US"/>
        </w:rPr>
        <w:t xml:space="preserve"> (</w:t>
      </w:r>
      <w:r w:rsidR="00E84453" w:rsidRPr="00E84453">
        <w:rPr>
          <w:i/>
          <w:iCs/>
          <w:lang w:val="en-US"/>
        </w:rPr>
        <w:t>m</w:t>
      </w:r>
      <w:r w:rsidR="00E84453">
        <w:rPr>
          <w:lang w:val="en-US"/>
        </w:rPr>
        <w:t xml:space="preserve"> – number of variables in the model, </w:t>
      </w:r>
      <w:r w:rsidR="00E84453" w:rsidRPr="00E84453">
        <w:rPr>
          <w:i/>
          <w:iCs/>
          <w:lang w:val="en-US"/>
        </w:rPr>
        <w:t>n</w:t>
      </w:r>
      <w:r w:rsidR="00E84453">
        <w:rPr>
          <w:lang w:val="en-US"/>
        </w:rPr>
        <w:t xml:space="preserve"> – overall number of available variables)</w:t>
      </w:r>
      <w:r w:rsidR="00CE7483" w:rsidRPr="00CE7483">
        <w:rPr>
          <w:lang w:val="en-US"/>
        </w:rPr>
        <w:t>.</w:t>
      </w:r>
      <w:r w:rsidR="007F4F3C">
        <w:rPr>
          <w:lang w:val="en-US"/>
        </w:rPr>
        <w:t xml:space="preserve"> To slightly reduce computational problem, I </w:t>
      </w:r>
      <w:r w:rsidR="00CE7483" w:rsidRPr="00CE7483">
        <w:rPr>
          <w:lang w:val="en-US"/>
        </w:rPr>
        <w:t>includ</w:t>
      </w:r>
      <w:r w:rsidR="007F4F3C">
        <w:rPr>
          <w:lang w:val="en-US"/>
        </w:rPr>
        <w:t xml:space="preserve">e to each </w:t>
      </w:r>
      <w:r w:rsidR="00812A5D">
        <w:rPr>
          <w:lang w:val="en-US"/>
        </w:rPr>
        <w:t>equation</w:t>
      </w:r>
      <w:r w:rsidR="00CE7483" w:rsidRPr="00CE7483">
        <w:rPr>
          <w:lang w:val="en-US"/>
        </w:rPr>
        <w:t xml:space="preserve"> constant controls that theoretically and empirically </w:t>
      </w:r>
      <w:r w:rsidR="00812A5D">
        <w:rPr>
          <w:lang w:val="en-US"/>
        </w:rPr>
        <w:t xml:space="preserve">have </w:t>
      </w:r>
      <w:r w:rsidR="00CE7483" w:rsidRPr="00CE7483">
        <w:rPr>
          <w:lang w:val="en-US"/>
        </w:rPr>
        <w:t>proven their significance</w:t>
      </w:r>
      <w:r w:rsidR="007F4F3C">
        <w:rPr>
          <w:lang w:val="en-US"/>
        </w:rPr>
        <w:t>. Thus,</w:t>
      </w:r>
      <w:r w:rsidR="00CE7483" w:rsidRPr="00CE7483">
        <w:rPr>
          <w:lang w:val="en-US"/>
        </w:rPr>
        <w:t xml:space="preserve"> </w:t>
      </w:r>
      <w:r w:rsidR="007F4F3C">
        <w:rPr>
          <w:lang w:val="en-US"/>
        </w:rPr>
        <w:t>the final model is</w:t>
      </w:r>
      <w:r w:rsidR="00CE7483" w:rsidRPr="00CE7483">
        <w:rPr>
          <w:lang w:val="en-US"/>
        </w:rPr>
        <w:t xml:space="preserve"> model: </w:t>
      </w:r>
    </w:p>
    <w:p w14:paraId="4380FDEF" w14:textId="2E7D1768" w:rsidR="007F4F3C" w:rsidRPr="00D7687A" w:rsidRDefault="00000000" w:rsidP="00AF0D68">
      <w:pPr>
        <w:rPr>
          <w:i/>
          <w:iCs/>
          <w:lang w:val="en-US"/>
        </w:rPr>
      </w:pPr>
      <m:oMathPara>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FE</m:t>
              </m:r>
            </m:sub>
          </m:sSub>
          <m:r>
            <w:rPr>
              <w:rFonts w:ascii="Cambria Math" w:hAnsi="Cambria Math"/>
              <w:lang w:val="en-US"/>
            </w:rPr>
            <m:t>+β</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j</m:t>
              </m:r>
            </m:sub>
            <m:sup/>
            <m:e>
              <m:sSub>
                <m:sSubPr>
                  <m:ctrlPr>
                    <w:rPr>
                      <w:rFonts w:ascii="Cambria Math" w:hAnsi="Cambria Math"/>
                      <w:i/>
                      <w:iCs/>
                      <w:lang w:val="en-US"/>
                    </w:rPr>
                  </m:ctrlPr>
                </m:sSubPr>
                <m:e>
                  <m:r>
                    <w:rPr>
                      <w:rFonts w:ascii="Cambria Math" w:hAnsi="Cambria Math"/>
                      <w:lang w:val="en-US"/>
                    </w:rPr>
                    <m:t>γ</m:t>
                  </m:r>
                </m:e>
                <m:sub>
                  <m:r>
                    <w:rPr>
                      <w:rFonts w:ascii="Cambria Math" w:hAnsi="Cambria Math"/>
                      <w:lang w:val="en-US"/>
                    </w:rPr>
                    <m:t>j</m:t>
                  </m:r>
                </m:sub>
              </m:sSub>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j,i,t</m:t>
                  </m:r>
                </m:sub>
              </m:sSub>
            </m:e>
          </m:nary>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k</m:t>
              </m:r>
            </m:sub>
            <m:sup/>
            <m:e>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k</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k,i,t</m:t>
                  </m:r>
                </m:sub>
              </m:sSub>
            </m:e>
          </m:nary>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i,t</m:t>
              </m:r>
            </m:sub>
          </m:sSub>
        </m:oMath>
      </m:oMathPara>
    </w:p>
    <w:p w14:paraId="000DADCE" w14:textId="0D80900E" w:rsidR="00CE7483" w:rsidRPr="00CE7483" w:rsidRDefault="00CE7483" w:rsidP="00AF0D68">
      <w:pPr>
        <w:rPr>
          <w:lang w:val="en-US"/>
        </w:rPr>
      </w:pPr>
      <w:r w:rsidRPr="00CE7483">
        <w:rPr>
          <w:lang w:val="en-US"/>
        </w:rPr>
        <w:t xml:space="preserve">where </w:t>
      </w:r>
      <w:r w:rsidRPr="007F4F3C">
        <w:rPr>
          <w:i/>
          <w:iCs/>
          <w:lang w:val="en-US"/>
        </w:rPr>
        <w:t>c</w:t>
      </w:r>
      <w:r w:rsidRPr="00CE7483">
        <w:rPr>
          <w:lang w:val="en-US"/>
        </w:rPr>
        <w:t xml:space="preserve"> - constant control variables from a set</w:t>
      </w:r>
      <w:r w:rsidR="007F4F3C">
        <w:rPr>
          <w:lang w:val="en-US"/>
        </w:rPr>
        <w:t xml:space="preserve"> of</w:t>
      </w:r>
      <w:r w:rsidRPr="00CE7483">
        <w:rPr>
          <w:lang w:val="en-US"/>
        </w:rPr>
        <w:t xml:space="preserve"> </w:t>
      </w:r>
      <w:r w:rsidR="007F4F3C" w:rsidRPr="007F4F3C">
        <w:rPr>
          <w:i/>
          <w:iCs/>
          <w:lang w:val="en-US"/>
        </w:rPr>
        <w:t>j</w:t>
      </w:r>
      <w:r w:rsidR="007F4F3C">
        <w:rPr>
          <w:lang w:val="en-US"/>
        </w:rPr>
        <w:t xml:space="preserve"> variables </w:t>
      </w:r>
      <w:r w:rsidRPr="00CE7483">
        <w:rPr>
          <w:lang w:val="en-US"/>
        </w:rPr>
        <w:t>that are included in each model.</w:t>
      </w:r>
      <w:r w:rsidR="00507430">
        <w:rPr>
          <w:lang w:val="en-US"/>
        </w:rPr>
        <w:t xml:space="preserve"> As constant variables I consider population and level of democracy (with its squared version). </w:t>
      </w:r>
    </w:p>
    <w:p w14:paraId="27D16A44" w14:textId="2EE549F8" w:rsidR="00CE7483" w:rsidRDefault="00CE7483" w:rsidP="00AF0D68">
      <w:pPr>
        <w:rPr>
          <w:lang w:val="en-US"/>
        </w:rPr>
      </w:pPr>
      <w:r w:rsidRPr="00CE7483">
        <w:rPr>
          <w:lang w:val="en-US"/>
        </w:rPr>
        <w:t xml:space="preserve">After running </w:t>
      </w:r>
      <w:r w:rsidR="007F4F3C" w:rsidRPr="007F4F3C">
        <w:rPr>
          <w:i/>
          <w:iCs/>
          <w:lang w:val="en-US"/>
        </w:rPr>
        <w:t>m</w:t>
      </w:r>
      <w:r w:rsidR="007F4F3C">
        <w:rPr>
          <w:lang w:val="en-US"/>
        </w:rPr>
        <w:t xml:space="preserve"> </w:t>
      </w:r>
      <w:r w:rsidRPr="00CE7483">
        <w:rPr>
          <w:lang w:val="en-US"/>
        </w:rPr>
        <w:t>models one can calculate</w:t>
      </w:r>
      <w:r w:rsidR="007F4F3C">
        <w:rPr>
          <w:lang w:val="en-US"/>
        </w:rPr>
        <w:t xml:space="preserve"> </w:t>
      </w:r>
      <m:oMath>
        <m:sSup>
          <m:sSupPr>
            <m:ctrlPr>
              <w:rPr>
                <w:rFonts w:ascii="Cambria Math" w:hAnsi="Cambria Math"/>
                <w:lang w:val="en-US"/>
              </w:rPr>
            </m:ctrlPr>
          </m:sSupPr>
          <m:e>
            <m:r>
              <m:rPr>
                <m:sty m:val="p"/>
              </m:rPr>
              <w:rPr>
                <w:rFonts w:ascii="Cambria Math" w:hAnsi="Cambria Math"/>
                <w:lang w:val="en-US"/>
              </w:rPr>
              <m:t>β</m:t>
            </m:r>
          </m:e>
          <m:sup>
            <m:r>
              <m:rPr>
                <m:sty m:val="p"/>
              </m:rPr>
              <w:rPr>
                <w:rFonts w:ascii="Cambria Math" w:hAnsi="Cambria Math"/>
                <w:lang w:val="en-US"/>
              </w:rPr>
              <m:t>eba</m:t>
            </m:r>
          </m:sup>
        </m:sSup>
      </m:oMath>
      <w:r w:rsidRPr="00CE7483">
        <w:rPr>
          <w:lang w:val="en-US"/>
        </w:rPr>
        <w:t xml:space="preserve"> and its variance,</w:t>
      </w:r>
      <w:r w:rsidR="007F4F3C">
        <w:rPr>
          <w:lang w:val="en-US"/>
        </w:rPr>
        <w:t xml:space="preserve"> </w:t>
      </w:r>
      <m:oMath>
        <m:r>
          <m:rPr>
            <m:sty m:val="p"/>
          </m:rPr>
          <w:rPr>
            <w:rFonts w:ascii="Cambria Math" w:hAnsi="Cambria Math"/>
            <w:lang w:val="en-US"/>
          </w:rPr>
          <m:t>s</m:t>
        </m:r>
        <m:sSubSup>
          <m:sSubSupPr>
            <m:ctrlPr>
              <w:rPr>
                <w:rFonts w:ascii="Cambria Math" w:hAnsi="Cambria Math"/>
                <w:lang w:val="en-US"/>
              </w:rPr>
            </m:ctrlPr>
          </m:sSubSupPr>
          <m:e>
            <m:r>
              <m:rPr>
                <m:sty m:val="p"/>
              </m:rPr>
              <w:rPr>
                <w:rFonts w:ascii="Cambria Math" w:hAnsi="Cambria Math"/>
                <w:lang w:val="en-US"/>
              </w:rPr>
              <m:t>e</m:t>
            </m:r>
          </m:e>
          <m:sub>
            <m:sSup>
              <m:sSupPr>
                <m:ctrlPr>
                  <w:rPr>
                    <w:rFonts w:ascii="Cambria Math" w:hAnsi="Cambria Math"/>
                    <w:lang w:val="en-US"/>
                  </w:rPr>
                </m:ctrlPr>
              </m:sSupPr>
              <m:e>
                <m:r>
                  <m:rPr>
                    <m:sty m:val="p"/>
                  </m:rPr>
                  <w:rPr>
                    <w:rFonts w:ascii="Cambria Math" w:hAnsi="Cambria Math"/>
                    <w:lang w:val="en-US"/>
                  </w:rPr>
                  <m:t>β</m:t>
                </m:r>
              </m:e>
              <m:sup>
                <m:r>
                  <m:rPr>
                    <m:sty m:val="p"/>
                  </m:rPr>
                  <w:rPr>
                    <w:rFonts w:ascii="Cambria Math" w:hAnsi="Cambria Math"/>
                    <w:lang w:val="en-US"/>
                  </w:rPr>
                  <m:t>eba</m:t>
                </m:r>
              </m:sup>
            </m:sSup>
          </m:sub>
          <m:sup>
            <m:r>
              <m:rPr>
                <m:sty m:val="p"/>
              </m:rPr>
              <w:rPr>
                <w:rFonts w:ascii="Cambria Math" w:hAnsi="Cambria Math"/>
                <w:lang w:val="en-US"/>
              </w:rPr>
              <m:t>2</m:t>
            </m:r>
          </m:sup>
        </m:sSubSup>
      </m:oMath>
      <w:r w:rsidRPr="00CE7483">
        <w:rPr>
          <w:lang w:val="en-US"/>
        </w:rPr>
        <w:t>, by using following formulas (</w:t>
      </w:r>
      <w:r w:rsidR="00507430">
        <w:rPr>
          <w:lang w:val="en-US"/>
        </w:rPr>
        <w:t>they</w:t>
      </w:r>
      <w:r w:rsidR="007F4F3C">
        <w:rPr>
          <w:lang w:val="en-US"/>
        </w:rPr>
        <w:t xml:space="preserve"> are </w:t>
      </w:r>
      <w:r w:rsidRPr="00CE7483">
        <w:rPr>
          <w:lang w:val="en-US"/>
        </w:rPr>
        <w:t>weighted mean</w:t>
      </w:r>
      <w:r w:rsidR="00507430">
        <w:rPr>
          <w:lang w:val="en-US"/>
        </w:rPr>
        <w:t>s</w:t>
      </w:r>
      <w:r w:rsidRPr="00CE7483">
        <w:rPr>
          <w:lang w:val="en-US"/>
        </w:rPr>
        <w:t>):</w:t>
      </w:r>
    </w:p>
    <w:p w14:paraId="38EB7FD6" w14:textId="1A672B23" w:rsidR="007F4F3C" w:rsidRPr="00D7687A" w:rsidRDefault="00000000" w:rsidP="00AF0D68">
      <w:pPr>
        <w:rPr>
          <w:i/>
          <w:iCs/>
          <w:lang w:val="en-US"/>
        </w:rPr>
      </w:pPr>
      <m:oMathPara>
        <m:oMath>
          <m:sSup>
            <m:sSupPr>
              <m:ctrlPr>
                <w:rPr>
                  <w:rFonts w:ascii="Cambria Math" w:hAnsi="Cambria Math"/>
                  <w:i/>
                  <w:iCs/>
                  <w:lang w:val="en-US"/>
                </w:rPr>
              </m:ctrlPr>
            </m:sSupPr>
            <m:e>
              <m:r>
                <w:rPr>
                  <w:rFonts w:ascii="Cambria Math" w:hAnsi="Cambria Math"/>
                  <w:lang w:val="en-US"/>
                </w:rPr>
                <m:t>β</m:t>
              </m:r>
            </m:e>
            <m:sup>
              <m:r>
                <w:rPr>
                  <w:rFonts w:ascii="Cambria Math" w:hAnsi="Cambria Math"/>
                  <w:lang w:val="en-US"/>
                </w:rPr>
                <m:t>eba</m:t>
              </m:r>
            </m:sup>
          </m:sSup>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m</m:t>
              </m:r>
            </m:sub>
            <m:sup/>
            <m:e>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m</m:t>
                  </m:r>
                </m:sub>
              </m:sSub>
              <m:sSub>
                <m:sSubPr>
                  <m:ctrlPr>
                    <w:rPr>
                      <w:rFonts w:ascii="Cambria Math" w:hAnsi="Cambria Math"/>
                      <w:i/>
                      <w:iCs/>
                      <w:lang w:val="en-US"/>
                    </w:rPr>
                  </m:ctrlPr>
                </m:sSubPr>
                <m:e>
                  <m:r>
                    <w:rPr>
                      <w:rFonts w:ascii="Cambria Math" w:hAnsi="Cambria Math"/>
                      <w:lang w:val="en-US"/>
                    </w:rPr>
                    <m:t>ω</m:t>
                  </m:r>
                </m:e>
                <m:sub>
                  <m:r>
                    <w:rPr>
                      <w:rFonts w:ascii="Cambria Math" w:hAnsi="Cambria Math"/>
                      <w:lang w:val="en-US"/>
                    </w:rPr>
                    <m:t>m</m:t>
                  </m:r>
                </m:sub>
              </m:sSub>
            </m:e>
          </m:nary>
        </m:oMath>
      </m:oMathPara>
    </w:p>
    <w:p w14:paraId="79A1A3D9" w14:textId="40339BD2" w:rsidR="007F4F3C" w:rsidRPr="00D7687A" w:rsidRDefault="00D7687A" w:rsidP="00AF0D68">
      <w:pPr>
        <w:rPr>
          <w:i/>
          <w:iCs/>
          <w:lang w:val="en-US"/>
        </w:rPr>
      </w:pPr>
      <m:oMathPara>
        <m:oMath>
          <m:r>
            <w:rPr>
              <w:rFonts w:ascii="Cambria Math" w:hAnsi="Cambria Math"/>
              <w:lang w:val="en-US"/>
            </w:rPr>
            <m:t>s</m:t>
          </m:r>
          <m:sSubSup>
            <m:sSubSupPr>
              <m:ctrlPr>
                <w:rPr>
                  <w:rFonts w:ascii="Cambria Math" w:hAnsi="Cambria Math"/>
                  <w:i/>
                  <w:iCs/>
                  <w:lang w:val="en-US"/>
                </w:rPr>
              </m:ctrlPr>
            </m:sSubSupPr>
            <m:e>
              <m:r>
                <w:rPr>
                  <w:rFonts w:ascii="Cambria Math" w:hAnsi="Cambria Math"/>
                  <w:lang w:val="en-US"/>
                </w:rPr>
                <m:t>e</m:t>
              </m:r>
            </m:e>
            <m:sub>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eba</m:t>
                  </m:r>
                </m:sup>
              </m:sSup>
            </m:sub>
            <m:sup>
              <m:r>
                <w:rPr>
                  <w:rFonts w:ascii="Cambria Math" w:hAnsi="Cambria Math"/>
                  <w:lang w:val="en-US"/>
                </w:rPr>
                <m:t>2</m:t>
              </m:r>
            </m:sup>
          </m:sSubSup>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m</m:t>
              </m:r>
            </m:sub>
            <m:sup/>
            <m:e>
              <m:r>
                <w:rPr>
                  <w:rFonts w:ascii="Cambria Math" w:hAnsi="Cambria Math"/>
                  <w:lang w:val="en-US"/>
                </w:rPr>
                <m:t>s</m:t>
              </m:r>
              <m:sSubSup>
                <m:sSubSupPr>
                  <m:ctrlPr>
                    <w:rPr>
                      <w:rFonts w:ascii="Cambria Math" w:hAnsi="Cambria Math"/>
                      <w:i/>
                      <w:iCs/>
                      <w:lang w:val="en-US"/>
                    </w:rPr>
                  </m:ctrlPr>
                </m:sSubSupPr>
                <m:e>
                  <m:r>
                    <w:rPr>
                      <w:rFonts w:ascii="Cambria Math" w:hAnsi="Cambria Math"/>
                      <w:lang w:val="en-US"/>
                    </w:rPr>
                    <m:t>e</m:t>
                  </m:r>
                </m:e>
                <m:sub>
                  <m:r>
                    <w:rPr>
                      <w:rFonts w:ascii="Cambria Math" w:hAnsi="Cambria Math"/>
                      <w:lang w:val="en-US"/>
                    </w:rPr>
                    <m:t>m</m:t>
                  </m:r>
                </m:sub>
                <m:sup>
                  <m:r>
                    <w:rPr>
                      <w:rFonts w:ascii="Cambria Math" w:hAnsi="Cambria Math"/>
                      <w:lang w:val="en-US"/>
                    </w:rPr>
                    <m:t>2</m:t>
                  </m:r>
                </m:sup>
              </m:sSubSup>
              <m:sSub>
                <m:sSubPr>
                  <m:ctrlPr>
                    <w:rPr>
                      <w:rFonts w:ascii="Cambria Math" w:hAnsi="Cambria Math"/>
                      <w:i/>
                      <w:iCs/>
                      <w:lang w:val="en-US"/>
                    </w:rPr>
                  </m:ctrlPr>
                </m:sSubPr>
                <m:e>
                  <m:r>
                    <w:rPr>
                      <w:rFonts w:ascii="Cambria Math" w:hAnsi="Cambria Math"/>
                      <w:lang w:val="en-US"/>
                    </w:rPr>
                    <m:t>ω</m:t>
                  </m:r>
                </m:e>
                <m:sub>
                  <m:r>
                    <w:rPr>
                      <w:rFonts w:ascii="Cambria Math" w:hAnsi="Cambria Math"/>
                      <w:lang w:val="en-US"/>
                    </w:rPr>
                    <m:t>m</m:t>
                  </m:r>
                </m:sub>
              </m:sSub>
            </m:e>
          </m:nary>
        </m:oMath>
      </m:oMathPara>
    </w:p>
    <w:p w14:paraId="3FE999C9" w14:textId="065A3F28" w:rsidR="00CE7483" w:rsidRDefault="00CE7483" w:rsidP="00AF0D68">
      <w:pPr>
        <w:rPr>
          <w:lang w:val="en-US"/>
        </w:rPr>
      </w:pPr>
      <w:r w:rsidRPr="00CE7483">
        <w:rPr>
          <w:lang w:val="en-US"/>
        </w:rPr>
        <w:t xml:space="preserve">Then overall </w:t>
      </w:r>
      <w:r w:rsidRPr="007F4F3C">
        <w:rPr>
          <w:i/>
          <w:iCs/>
          <w:lang w:val="en-US"/>
        </w:rPr>
        <w:t>p-value</w:t>
      </w:r>
      <w:r w:rsidRPr="00CE7483">
        <w:rPr>
          <w:lang w:val="en-US"/>
        </w:rPr>
        <w:t xml:space="preserve"> can be calculated as </w:t>
      </w:r>
      <w:r w:rsidR="007F4F3C">
        <w:rPr>
          <w:lang w:val="en-US"/>
        </w:rPr>
        <w:t>usual</w:t>
      </w:r>
      <w:r w:rsidR="008A14EE">
        <w:rPr>
          <w:lang w:val="en-US"/>
        </w:rPr>
        <w:t xml:space="preserve">: </w:t>
      </w:r>
    </w:p>
    <w:p w14:paraId="37B2A389" w14:textId="7400957B" w:rsidR="008A14EE" w:rsidRPr="00D7687A" w:rsidRDefault="00000000" w:rsidP="00AF0D68">
      <w:pPr>
        <w:rPr>
          <w:i/>
          <w:iCs/>
          <w:lang w:val="en-US"/>
        </w:rPr>
      </w:pPr>
      <m:oMathPara>
        <m:oMath>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β</m:t>
                  </m:r>
                </m:e>
                <m:sup>
                  <m:r>
                    <w:rPr>
                      <w:rFonts w:ascii="Cambria Math" w:hAnsi="Cambria Math"/>
                      <w:lang w:val="en-US"/>
                    </w:rPr>
                    <m:t>eba</m:t>
                  </m:r>
                </m:sup>
              </m:sSup>
            </m:num>
            <m:den>
              <m:r>
                <w:rPr>
                  <w:rFonts w:ascii="Cambria Math" w:hAnsi="Cambria Math"/>
                  <w:lang w:val="en-US"/>
                </w:rPr>
                <m:t>s</m:t>
              </m:r>
              <m:sSubSup>
                <m:sSubSupPr>
                  <m:ctrlPr>
                    <w:rPr>
                      <w:rFonts w:ascii="Cambria Math" w:hAnsi="Cambria Math"/>
                      <w:i/>
                      <w:iCs/>
                      <w:lang w:val="en-US"/>
                    </w:rPr>
                  </m:ctrlPr>
                </m:sSubSupPr>
                <m:e>
                  <m:r>
                    <w:rPr>
                      <w:rFonts w:ascii="Cambria Math" w:hAnsi="Cambria Math"/>
                      <w:lang w:val="en-US"/>
                    </w:rPr>
                    <m:t>e</m:t>
                  </m:r>
                </m:e>
                <m:sub>
                  <m:sSup>
                    <m:sSupPr>
                      <m:ctrlPr>
                        <w:rPr>
                          <w:rFonts w:ascii="Cambria Math" w:hAnsi="Cambria Math"/>
                          <w:i/>
                          <w:iCs/>
                          <w:lang w:val="en-US"/>
                        </w:rPr>
                      </m:ctrlPr>
                    </m:sSupPr>
                    <m:e>
                      <m:r>
                        <w:rPr>
                          <w:rFonts w:ascii="Cambria Math" w:hAnsi="Cambria Math"/>
                          <w:lang w:val="en-US"/>
                        </w:rPr>
                        <m:t>β</m:t>
                      </m:r>
                    </m:e>
                    <m:sup>
                      <m:r>
                        <w:rPr>
                          <w:rFonts w:ascii="Cambria Math" w:hAnsi="Cambria Math"/>
                          <w:lang w:val="en-US"/>
                        </w:rPr>
                        <m:t>eba</m:t>
                      </m:r>
                    </m:sup>
                  </m:sSup>
                </m:sub>
                <m:sup>
                  <m:r>
                    <w:rPr>
                      <w:rFonts w:ascii="Cambria Math" w:hAnsi="Cambria Math"/>
                      <w:lang w:val="en-US"/>
                    </w:rPr>
                    <m:t>2</m:t>
                  </m:r>
                </m:sup>
              </m:sSubSup>
            </m:den>
          </m:f>
          <m:r>
            <w:rPr>
              <w:rFonts w:ascii="Cambria Math" w:hAnsi="Cambria Math"/>
              <w:lang w:val="en-US"/>
            </w:rPr>
            <m:t>∼N</m:t>
          </m:r>
          <m:d>
            <m:dPr>
              <m:ctrlPr>
                <w:rPr>
                  <w:rFonts w:ascii="Cambria Math" w:hAnsi="Cambria Math"/>
                  <w:i/>
                  <w:iCs/>
                  <w:lang w:val="en-US"/>
                </w:rPr>
              </m:ctrlPr>
            </m:dPr>
            <m:e>
              <m:r>
                <w:rPr>
                  <w:rFonts w:ascii="Cambria Math" w:hAnsi="Cambria Math"/>
                  <w:lang w:val="en-US"/>
                </w:rPr>
                <m:t>0,1</m:t>
              </m:r>
            </m:e>
          </m:d>
        </m:oMath>
      </m:oMathPara>
    </w:p>
    <w:p w14:paraId="28146A48" w14:textId="2FBBA94D" w:rsidR="00CE7483" w:rsidRDefault="00CE7483" w:rsidP="00AF0D68">
      <w:pPr>
        <w:rPr>
          <w:lang w:val="en-US"/>
        </w:rPr>
      </w:pPr>
      <w:r w:rsidRPr="00CE7483">
        <w:rPr>
          <w:lang w:val="en-US"/>
        </w:rPr>
        <w:t xml:space="preserve">In turn, </w:t>
      </w:r>
      <m:oMath>
        <m:sSub>
          <m:sSubPr>
            <m:ctrlPr>
              <w:rPr>
                <w:rFonts w:ascii="Cambria Math" w:hAnsi="Cambria Math"/>
                <w:lang w:val="en-US"/>
              </w:rPr>
            </m:ctrlPr>
          </m:sSubPr>
          <m:e>
            <m:r>
              <m:rPr>
                <m:sty m:val="p"/>
              </m:rPr>
              <w:rPr>
                <w:rFonts w:ascii="Cambria Math" w:hAnsi="Cambria Math"/>
                <w:lang w:val="en-US"/>
              </w:rPr>
              <m:t>ω</m:t>
            </m:r>
          </m:e>
          <m:sub>
            <m:r>
              <m:rPr>
                <m:sty m:val="p"/>
              </m:rPr>
              <w:rPr>
                <w:rFonts w:ascii="Cambria Math" w:hAnsi="Cambria Math"/>
                <w:lang w:val="en-US"/>
              </w:rPr>
              <m:t>m</m:t>
            </m:r>
          </m:sub>
        </m:sSub>
      </m:oMath>
      <w:r w:rsidR="008A14EE">
        <w:rPr>
          <w:rFonts w:eastAsiaTheme="minorEastAsia"/>
          <w:lang w:val="en-US"/>
        </w:rPr>
        <w:t xml:space="preserve"> </w:t>
      </w:r>
      <w:r w:rsidRPr="00CE7483">
        <w:rPr>
          <w:lang w:val="en-US"/>
        </w:rPr>
        <w:t>- weight of each model that is calculated as:</w:t>
      </w:r>
    </w:p>
    <w:p w14:paraId="404903CD" w14:textId="66A5CA43" w:rsidR="00C745C8" w:rsidRPr="00D7687A" w:rsidRDefault="00000000" w:rsidP="00AF0D68">
      <w:pPr>
        <w:rPr>
          <w:i/>
          <w:iCs/>
          <w:lang w:val="en-US"/>
        </w:rPr>
      </w:pPr>
      <m:oMathPara>
        <m:oMath>
          <m:sSub>
            <m:sSubPr>
              <m:ctrlPr>
                <w:rPr>
                  <w:rFonts w:ascii="Cambria Math" w:hAnsi="Cambria Math"/>
                  <w:i/>
                  <w:iCs/>
                  <w:lang w:val="en-US"/>
                </w:rPr>
              </m:ctrlPr>
            </m:sSubPr>
            <m:e>
              <m:r>
                <w:rPr>
                  <w:rFonts w:ascii="Cambria Math" w:hAnsi="Cambria Math"/>
                  <w:lang w:val="en-US"/>
                </w:rPr>
                <m:t>ω</m:t>
              </m:r>
            </m:e>
            <m:sub>
              <m:r>
                <w:rPr>
                  <w:rFonts w:ascii="Cambria Math" w:hAnsi="Cambria Math"/>
                  <w:lang w:val="en-US"/>
                </w:rPr>
                <m:t>m</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L</m:t>
                  </m:r>
                </m:e>
                <m:sub>
                  <m:r>
                    <w:rPr>
                      <w:rFonts w:ascii="Cambria Math" w:hAnsi="Cambria Math"/>
                      <w:lang w:val="en-US"/>
                    </w:rPr>
                    <m:t>m</m:t>
                  </m:r>
                </m:sub>
              </m:sSub>
            </m:num>
            <m:den>
              <m:nary>
                <m:naryPr>
                  <m:chr m:val="∑"/>
                  <m:supHide m:val="1"/>
                  <m:ctrlPr>
                    <w:rPr>
                      <w:rFonts w:ascii="Cambria Math" w:hAnsi="Cambria Math"/>
                      <w:i/>
                      <w:iCs/>
                      <w:lang w:val="en-US"/>
                    </w:rPr>
                  </m:ctrlPr>
                </m:naryPr>
                <m:sub>
                  <m:r>
                    <w:rPr>
                      <w:rFonts w:ascii="Cambria Math" w:hAnsi="Cambria Math"/>
                      <w:lang w:val="en-US"/>
                    </w:rPr>
                    <m:t>m</m:t>
                  </m:r>
                </m:sub>
                <m:sup/>
                <m:e>
                  <m:sSub>
                    <m:sSubPr>
                      <m:ctrlPr>
                        <w:rPr>
                          <w:rFonts w:ascii="Cambria Math" w:hAnsi="Cambria Math"/>
                          <w:i/>
                          <w:iCs/>
                          <w:lang w:val="en-US"/>
                        </w:rPr>
                      </m:ctrlPr>
                    </m:sSubPr>
                    <m:e>
                      <m:r>
                        <w:rPr>
                          <w:rFonts w:ascii="Cambria Math" w:hAnsi="Cambria Math"/>
                          <w:lang w:val="en-US"/>
                        </w:rPr>
                        <m:t>L</m:t>
                      </m:r>
                    </m:e>
                    <m:sub>
                      <m:r>
                        <w:rPr>
                          <w:rFonts w:ascii="Cambria Math" w:hAnsi="Cambria Math"/>
                          <w:lang w:val="en-US"/>
                        </w:rPr>
                        <m:t>m</m:t>
                      </m:r>
                    </m:sub>
                  </m:sSub>
                </m:e>
              </m:nary>
            </m:den>
          </m:f>
        </m:oMath>
      </m:oMathPara>
    </w:p>
    <w:p w14:paraId="6DF32EB0" w14:textId="4CB2BFF5" w:rsidR="00F158E3" w:rsidRDefault="00C745C8" w:rsidP="00AF0D68">
      <w:pPr>
        <w:rPr>
          <w:rFonts w:eastAsiaTheme="minorEastAsia"/>
          <w:lang w:val="en-US"/>
        </w:rPr>
      </w:pPr>
      <w:r>
        <w:rPr>
          <w:lang w:val="en-US"/>
        </w:rPr>
        <w:t xml:space="preserve">Where </w:t>
      </w:r>
      <w:r w:rsidR="00CE7483" w:rsidRPr="00C745C8">
        <w:rPr>
          <w:i/>
          <w:iCs/>
          <w:lang w:val="en-US"/>
        </w:rPr>
        <w:t>L</w:t>
      </w:r>
      <w:r w:rsidR="00CE7483" w:rsidRPr="00CE7483">
        <w:rPr>
          <w:lang w:val="en-US"/>
        </w:rPr>
        <w:t xml:space="preserve"> is some statistic that can be calculated differently based on model goodness of fit. In case of linear </w:t>
      </w:r>
      <w:r w:rsidRPr="00CE7483">
        <w:rPr>
          <w:lang w:val="en-US"/>
        </w:rPr>
        <w:t>model,</w:t>
      </w:r>
      <w:r w:rsidR="00CE7483" w:rsidRPr="00CE7483">
        <w:rPr>
          <w:lang w:val="en-US"/>
        </w:rPr>
        <w:t xml:space="preserve"> it is</w:t>
      </w:r>
      <w:r>
        <w:rPr>
          <w:lang w:val="en-US"/>
        </w:rPr>
        <w:t xml:space="preserve"> R-squared</w:t>
      </w:r>
      <w:r w:rsidR="00CE7483" w:rsidRPr="00CE7483">
        <w:rPr>
          <w:lang w:val="en-US"/>
        </w:rPr>
        <w:t>, but in case of other models this question is more complicated.</w:t>
      </w:r>
      <w:r>
        <w:rPr>
          <w:lang w:val="en-US"/>
        </w:rPr>
        <w:t xml:space="preserve"> For the discussed classification </w:t>
      </w:r>
      <w:r w:rsidR="00507430">
        <w:rPr>
          <w:lang w:val="en-US"/>
        </w:rPr>
        <w:t xml:space="preserve">problem </w:t>
      </w:r>
      <w:r>
        <w:rPr>
          <w:lang w:val="en-US"/>
        </w:rPr>
        <w:t xml:space="preserve">of </w:t>
      </w:r>
      <w:r w:rsidR="00812A5D">
        <w:rPr>
          <w:lang w:val="en-US"/>
        </w:rPr>
        <w:t>“</w:t>
      </w:r>
      <w:r>
        <w:rPr>
          <w:lang w:val="en-US"/>
        </w:rPr>
        <w:t>rare-events</w:t>
      </w:r>
      <w:r w:rsidR="00812A5D">
        <w:rPr>
          <w:lang w:val="en-US"/>
        </w:rPr>
        <w:t>”</w:t>
      </w:r>
      <w:r w:rsidR="00507430">
        <w:rPr>
          <w:lang w:val="en-US"/>
        </w:rPr>
        <w:t xml:space="preserve">, </w:t>
      </w:r>
      <w:r>
        <w:rPr>
          <w:lang w:val="en-US"/>
        </w:rPr>
        <w:t>I use G-mean that does not suffer</w:t>
      </w:r>
      <w:r w:rsidR="00875114">
        <w:rPr>
          <w:lang w:val="en-US"/>
        </w:rPr>
        <w:t xml:space="preserve"> much</w:t>
      </w:r>
      <w:r>
        <w:rPr>
          <w:lang w:val="en-US"/>
        </w:rPr>
        <w:t xml:space="preserve"> from imbalanced class problem</w:t>
      </w:r>
      <w:r w:rsidR="00875114">
        <w:rPr>
          <w:lang w:val="en-US"/>
        </w:rPr>
        <w:t xml:space="preserve"> </w:t>
      </w:r>
      <w:r w:rsidR="00875114">
        <w:rPr>
          <w:lang w:val="en-US"/>
        </w:rPr>
        <w:fldChar w:fldCharType="begin"/>
      </w:r>
      <w:r w:rsidR="00875114">
        <w:rPr>
          <w:lang w:val="en-US"/>
        </w:rPr>
        <w:instrText xml:space="preserve"> ADDIN ZOTERO_ITEM CSL_CITATION {"citationID":"pgm0mtZ3","properties":{"formattedCitation":"(O\\uc0\\u8217{}Brien and Ishwaran 2019)","plainCitation":"(O’Brien and Ishwaran 2019)","noteIndex":0},"citationItems":[{"id":766,"uris":["http://zotero.org/users/9380878/items/3LEKP7N9"],"itemData":{"id":766,"type":"article-journal","container-title":"Pattern recognition","note":"ISBN: 0031-3203\npublisher: Elsevier","page":"232-249","title":"A random forests quantile classifier for class imbalanced data","volume":"90","author":[{"family":"O’Brien","given":"Robert"},{"family":"Ishwaran","given":"Hemant"}],"issued":{"date-parts":[["2019"]]}}}],"schema":"https://github.com/citation-style-language/schema/raw/master/csl-citation.json"} </w:instrText>
      </w:r>
      <w:r w:rsidR="00875114">
        <w:rPr>
          <w:lang w:val="en-US"/>
        </w:rPr>
        <w:fldChar w:fldCharType="separate"/>
      </w:r>
      <w:r w:rsidR="00875114" w:rsidRPr="00875114">
        <w:rPr>
          <w:lang w:val="en-US"/>
        </w:rPr>
        <w:t>(O’Brien and Ishwaran 2019)</w:t>
      </w:r>
      <w:r w:rsidR="00875114">
        <w:rPr>
          <w:lang w:val="en-US"/>
        </w:rPr>
        <w:fldChar w:fldCharType="end"/>
      </w:r>
      <w:r>
        <w:rPr>
          <w:lang w:val="en-US"/>
        </w:rPr>
        <w:t xml:space="preserve">. It is calculated as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TPR*TNG</m:t>
                </m:r>
              </m:e>
            </m:d>
          </m:e>
          <m:sup>
            <m:r>
              <w:rPr>
                <w:rFonts w:ascii="Cambria Math" w:hAnsi="Cambria Math"/>
                <w:lang w:val="en-US"/>
              </w:rPr>
              <m:t>1</m:t>
            </m:r>
            <m:r>
              <m:rPr>
                <m:lit/>
              </m:rPr>
              <w:rPr>
                <w:rFonts w:ascii="Cambria Math" w:hAnsi="Cambria Math"/>
                <w:lang w:val="en-US"/>
              </w:rPr>
              <m:t>/</m:t>
            </m:r>
            <m:r>
              <w:rPr>
                <w:rFonts w:ascii="Cambria Math" w:hAnsi="Cambria Math"/>
                <w:lang w:val="en-US"/>
              </w:rPr>
              <m:t>2</m:t>
            </m:r>
          </m:sup>
        </m:sSup>
      </m:oMath>
      <w:r>
        <w:rPr>
          <w:rFonts w:eastAsiaTheme="minorEastAsia"/>
          <w:lang w:val="en-US"/>
        </w:rPr>
        <w:t xml:space="preserve"> that is geometric mean of true positive rate and true negative rate</w:t>
      </w:r>
      <w:r w:rsidR="00466DB4">
        <w:rPr>
          <w:rFonts w:eastAsiaTheme="minorEastAsia"/>
          <w:lang w:val="en-US"/>
        </w:rPr>
        <w:t xml:space="preserve"> that tends to catch “rare events” data better then pseudo-R-squares</w:t>
      </w:r>
      <w:r>
        <w:rPr>
          <w:rFonts w:eastAsiaTheme="minorEastAsia"/>
          <w:lang w:val="en-US"/>
        </w:rPr>
        <w:t xml:space="preserve">. </w:t>
      </w:r>
    </w:p>
    <w:p w14:paraId="3B58871A" w14:textId="3B3B00D5" w:rsidR="009C0FF5" w:rsidRDefault="009C0FF5" w:rsidP="00585A85">
      <w:pPr>
        <w:rPr>
          <w:rFonts w:eastAsiaTheme="minorEastAsia"/>
          <w:lang w:val="en-US"/>
        </w:rPr>
      </w:pPr>
      <w:r>
        <w:rPr>
          <w:rFonts w:eastAsiaTheme="minorEastAsia"/>
          <w:lang w:val="en-US"/>
        </w:rPr>
        <w:t xml:space="preserve">One more </w:t>
      </w:r>
      <w:r w:rsidR="00507430">
        <w:rPr>
          <w:rFonts w:eastAsiaTheme="minorEastAsia"/>
          <w:lang w:val="en-US"/>
        </w:rPr>
        <w:t>issue</w:t>
      </w:r>
      <w:r>
        <w:rPr>
          <w:rFonts w:eastAsiaTheme="minorEastAsia"/>
          <w:lang w:val="en-US"/>
        </w:rPr>
        <w:t xml:space="preserve"> is combining multiple imputation technic with extreme boundary analysis. </w:t>
      </w:r>
      <w:r w:rsidR="00875114">
        <w:rPr>
          <w:rFonts w:eastAsiaTheme="minorEastAsia"/>
          <w:lang w:val="en-US"/>
        </w:rPr>
        <w:t>I have never seen research</w:t>
      </w:r>
      <w:r>
        <w:rPr>
          <w:rFonts w:eastAsiaTheme="minorEastAsia"/>
          <w:lang w:val="en-US"/>
        </w:rPr>
        <w:t xml:space="preserve"> where authors did it, but the idea</w:t>
      </w:r>
      <w:r w:rsidR="00507430">
        <w:rPr>
          <w:rFonts w:eastAsiaTheme="minorEastAsia"/>
          <w:lang w:val="en-US"/>
        </w:rPr>
        <w:t xml:space="preserve"> in my view</w:t>
      </w:r>
      <w:r>
        <w:rPr>
          <w:rFonts w:eastAsiaTheme="minorEastAsia"/>
          <w:lang w:val="en-US"/>
        </w:rPr>
        <w:t xml:space="preserve"> is straightforward: firstly, </w:t>
      </w:r>
      <w:r w:rsidR="00507430">
        <w:rPr>
          <w:rFonts w:eastAsiaTheme="minorEastAsia"/>
          <w:lang w:val="en-US"/>
        </w:rPr>
        <w:t xml:space="preserve">I estimate each </w:t>
      </w:r>
      <w:r>
        <w:rPr>
          <w:rFonts w:eastAsiaTheme="minorEastAsia"/>
          <w:lang w:val="en-US"/>
        </w:rPr>
        <w:t>combin</w:t>
      </w:r>
      <w:r w:rsidR="00507430">
        <w:rPr>
          <w:rFonts w:eastAsiaTheme="minorEastAsia"/>
          <w:lang w:val="en-US"/>
        </w:rPr>
        <w:t>ation using all datasets and</w:t>
      </w:r>
      <w:r w:rsidR="00812A5D">
        <w:rPr>
          <w:rFonts w:eastAsiaTheme="minorEastAsia"/>
          <w:lang w:val="en-US"/>
        </w:rPr>
        <w:t xml:space="preserve"> then aggregate estimates via</w:t>
      </w:r>
      <w:r w:rsidR="00507430">
        <w:rPr>
          <w:rFonts w:eastAsiaTheme="minorEastAsia"/>
          <w:lang w:val="en-US"/>
        </w:rPr>
        <w:t xml:space="preserve"> </w:t>
      </w:r>
      <w:r w:rsidR="00507430">
        <w:rPr>
          <w:lang w:val="en-US"/>
        </w:rPr>
        <w:t>“</w:t>
      </w:r>
      <w:r w:rsidR="00507430" w:rsidRPr="00B37E0F">
        <w:rPr>
          <w:lang w:val="en-US"/>
        </w:rPr>
        <w:t>Rubin combination rules</w:t>
      </w:r>
      <w:r w:rsidR="00507430">
        <w:rPr>
          <w:lang w:val="en-US"/>
        </w:rPr>
        <w:t xml:space="preserve">” </w:t>
      </w:r>
      <w:r w:rsidR="00507430">
        <w:rPr>
          <w:lang w:val="en-US"/>
        </w:rPr>
        <w:fldChar w:fldCharType="begin"/>
      </w:r>
      <w:r w:rsidR="00507430">
        <w:rPr>
          <w:lang w:val="en-US"/>
        </w:rPr>
        <w:instrText xml:space="preserve"> ADDIN ZOTERO_ITEM CSL_CITATION {"citationID":"2HTt2F6s","properties":{"formattedCitation":"(King et al. 2001, 53)","plainCitation":"(King et al. 2001, 53)","noteIndex":0},"citationItems":[{"id":1885,"uris":["http://zotero.org/users/9380878/items/P9ZZRFDN"],"itemData":{"id":1885,"type":"article-journal","abstract":"We propose a remedy for the discrepancy between the way political scientists analyze data with missing values and the recommendations of the statistics community. Methodologists and statisticians agree that “multiple imputation” is a superior approach to the problem of missing data scattered through one’s explanatory and dependent variables than the methods currently used in applied data analysis. The discrepancy occurs because the computational algorithms used to apply the best multiple imputation models have been slow, difficult to implement, impossible to run with existing commercial statistical packages, and have demanded considerable expertise. We adapt an algorithm and use it to implement a general-purpose, multiple imputation model for missing data. This algorithm is considerably faster and easier to use than the leading method recommended in the statistics literature. We also quantify the risks of current missing data practices, illustrate how to use the new procedure, and evaluate this alternative through simulated data as well as actual empirical examples. Finally, we offer easy-to-use software that implements all methods discussed.","container-title":"American Political Science Review","DOI":"10.1017/S0003055401000235","ISSN":"0003-0554, 1537-5943","issue":"1","journalAbbreviation":"Am Polit Sci Rev","language":"en","license":"https://www.cambridge.org/core/terms","page":"49-69","source":"DOI.org (Crossref)","title":"Analyzing Incomplete Political Science Data: An Alternative Algorithm for Multiple Imputation","title-short":"Analyzing Incomplete Political Science Data","volume":"95","author":[{"family":"King","given":"Gary"},{"family":"Honaker","given":"James"},{"family":"Joseph","given":"Anne"},{"family":"Scheve","given":"Kenneth"}],"issued":{"date-parts":[["2001",3]]}},"locator":"53","label":"page"}],"schema":"https://github.com/citation-style-language/schema/raw/master/csl-citation.json"} </w:instrText>
      </w:r>
      <w:r w:rsidR="00507430">
        <w:rPr>
          <w:lang w:val="en-US"/>
        </w:rPr>
        <w:fldChar w:fldCharType="separate"/>
      </w:r>
      <w:r w:rsidR="00507430">
        <w:rPr>
          <w:noProof/>
          <w:lang w:val="en-US"/>
        </w:rPr>
        <w:t>(King et al. 2001, 53)</w:t>
      </w:r>
      <w:r w:rsidR="00507430">
        <w:rPr>
          <w:lang w:val="en-US"/>
        </w:rPr>
        <w:fldChar w:fldCharType="end"/>
      </w:r>
      <w:r w:rsidR="00507430">
        <w:rPr>
          <w:rFonts w:eastAsiaTheme="minorEastAsia"/>
          <w:lang w:val="en-US"/>
        </w:rPr>
        <w:t xml:space="preserve">; </w:t>
      </w:r>
      <w:r>
        <w:rPr>
          <w:rFonts w:eastAsiaTheme="minorEastAsia"/>
          <w:lang w:val="en-US"/>
        </w:rPr>
        <w:t xml:space="preserve">and </w:t>
      </w:r>
      <w:r w:rsidR="00507430">
        <w:rPr>
          <w:rFonts w:eastAsiaTheme="minorEastAsia"/>
          <w:lang w:val="en-US"/>
        </w:rPr>
        <w:t>secondly, aggregate</w:t>
      </w:r>
      <w:r>
        <w:rPr>
          <w:rFonts w:eastAsiaTheme="minorEastAsia"/>
          <w:lang w:val="en-US"/>
        </w:rPr>
        <w:t xml:space="preserve"> that estimates among combinations</w:t>
      </w:r>
      <w:r w:rsidR="00875114" w:rsidRPr="005B3817">
        <w:rPr>
          <w:rStyle w:val="a7"/>
          <w:rFonts w:eastAsiaTheme="minorEastAsia"/>
        </w:rPr>
        <w:footnoteReference w:id="1"/>
      </w:r>
      <w:r w:rsidR="00757469">
        <w:rPr>
          <w:rFonts w:eastAsiaTheme="minorEastAsia"/>
          <w:lang w:val="en-US"/>
        </w:rPr>
        <w:t xml:space="preserve"> using rules formulated above</w:t>
      </w:r>
      <w:r w:rsidR="00812A5D">
        <w:rPr>
          <w:rFonts w:eastAsiaTheme="minorEastAsia"/>
          <w:lang w:val="en-US"/>
        </w:rPr>
        <w:t xml:space="preserve"> (weighted means)</w:t>
      </w:r>
      <w:r>
        <w:rPr>
          <w:rFonts w:eastAsiaTheme="minorEastAsia"/>
          <w:lang w:val="en-US"/>
        </w:rPr>
        <w:t xml:space="preserve">. In other words, multiple imputation goes first. </w:t>
      </w:r>
      <w:r w:rsidR="00585A85">
        <w:rPr>
          <w:rFonts w:eastAsiaTheme="minorEastAsia"/>
          <w:lang w:val="en-US"/>
        </w:rPr>
        <w:t>In this research</w:t>
      </w:r>
      <w:r w:rsidR="00812A5D">
        <w:rPr>
          <w:rFonts w:eastAsiaTheme="minorEastAsia"/>
          <w:lang w:val="en-US"/>
        </w:rPr>
        <w:t>,</w:t>
      </w:r>
      <w:r w:rsidR="00585A85">
        <w:rPr>
          <w:rFonts w:eastAsiaTheme="minorEastAsia"/>
          <w:lang w:val="en-US"/>
        </w:rPr>
        <w:t xml:space="preserve"> 50 imputed datasets</w:t>
      </w:r>
      <w:r w:rsidR="00812A5D">
        <w:rPr>
          <w:rFonts w:eastAsiaTheme="minorEastAsia"/>
          <w:lang w:val="en-US"/>
        </w:rPr>
        <w:t xml:space="preserve"> are exploited</w:t>
      </w:r>
      <w:r w:rsidR="00585A85">
        <w:rPr>
          <w:rFonts w:eastAsiaTheme="minorEastAsia"/>
          <w:lang w:val="en-US"/>
        </w:rPr>
        <w:t>.</w:t>
      </w:r>
    </w:p>
    <w:p w14:paraId="5CBDF9CE" w14:textId="3914826C" w:rsidR="00053B65" w:rsidRDefault="006E5A02" w:rsidP="00AF0D68">
      <w:pPr>
        <w:rPr>
          <w:rFonts w:eastAsiaTheme="minorEastAsia"/>
          <w:lang w:val="en-US"/>
        </w:rPr>
      </w:pPr>
      <w:r>
        <w:rPr>
          <w:rFonts w:eastAsiaTheme="minorEastAsia"/>
          <w:lang w:val="en-US"/>
        </w:rPr>
        <w:t xml:space="preserve">The whole other </w:t>
      </w:r>
      <w:r w:rsidR="006775F2">
        <w:rPr>
          <w:rFonts w:eastAsiaTheme="minorEastAsia"/>
          <w:lang w:val="en-US"/>
        </w:rPr>
        <w:t>estimation procedure</w:t>
      </w:r>
      <w:r>
        <w:rPr>
          <w:rFonts w:eastAsiaTheme="minorEastAsia"/>
          <w:lang w:val="en-US"/>
        </w:rPr>
        <w:t xml:space="preserve"> </w:t>
      </w:r>
      <w:r w:rsidR="00DF2129">
        <w:rPr>
          <w:rFonts w:eastAsiaTheme="minorEastAsia"/>
          <w:lang w:val="en-US"/>
        </w:rPr>
        <w:t>is the same as in the main text for regression analysis</w:t>
      </w:r>
      <w:r>
        <w:rPr>
          <w:rFonts w:eastAsiaTheme="minorEastAsia"/>
          <w:lang w:val="en-US"/>
        </w:rPr>
        <w:t xml:space="preserve">: one-way FE for year, clustered standard errors on country, bias-reduction </w:t>
      </w:r>
      <w:r w:rsidR="00507430">
        <w:rPr>
          <w:rFonts w:eastAsiaTheme="minorEastAsia"/>
          <w:lang w:val="en-US"/>
        </w:rPr>
        <w:t>estimator</w:t>
      </w:r>
      <w:r>
        <w:rPr>
          <w:rFonts w:eastAsiaTheme="minorEastAsia"/>
          <w:lang w:val="en-US"/>
        </w:rPr>
        <w:t xml:space="preserve"> and </w:t>
      </w:r>
      <w:r w:rsidR="006775F2">
        <w:rPr>
          <w:rFonts w:eastAsiaTheme="minorEastAsia"/>
          <w:lang w:val="en-US"/>
        </w:rPr>
        <w:t xml:space="preserve">1-year </w:t>
      </w:r>
      <w:r>
        <w:rPr>
          <w:rFonts w:eastAsiaTheme="minorEastAsia"/>
          <w:lang w:val="en-US"/>
        </w:rPr>
        <w:t xml:space="preserve">lag for all </w:t>
      </w:r>
      <w:r w:rsidR="006775F2">
        <w:rPr>
          <w:rFonts w:eastAsiaTheme="minorEastAsia"/>
          <w:lang w:val="en-US"/>
        </w:rPr>
        <w:t xml:space="preserve">independent </w:t>
      </w:r>
      <w:r>
        <w:rPr>
          <w:rFonts w:eastAsiaTheme="minorEastAsia"/>
          <w:lang w:val="en-US"/>
        </w:rPr>
        <w:t>variables.</w:t>
      </w:r>
    </w:p>
    <w:p w14:paraId="45B32E79" w14:textId="43041A5A" w:rsidR="00585A85" w:rsidRDefault="00585A85" w:rsidP="00AF0D68">
      <w:pPr>
        <w:rPr>
          <w:rFonts w:eastAsiaTheme="minorEastAsia"/>
          <w:lang w:val="en-US"/>
        </w:rPr>
      </w:pPr>
      <w:r>
        <w:rPr>
          <w:rFonts w:eastAsiaTheme="minorEastAsia"/>
          <w:lang w:val="en-US"/>
        </w:rPr>
        <w:t xml:space="preserve">Additionally to the main specification with polynomial main independent variable (linear and quadratic terms), I also run the same procedure with only linear term of GDP </w:t>
      </w:r>
      <w:r w:rsidR="00812A5D">
        <w:rPr>
          <w:rFonts w:eastAsiaTheme="minorEastAsia"/>
          <w:lang w:val="en-US"/>
        </w:rPr>
        <w:t>per capita</w:t>
      </w:r>
      <w:r>
        <w:rPr>
          <w:rFonts w:eastAsiaTheme="minorEastAsia"/>
          <w:lang w:val="en-US"/>
        </w:rPr>
        <w:t xml:space="preserve"> to test possible </w:t>
      </w:r>
      <w:r w:rsidR="00812A5D">
        <w:rPr>
          <w:rFonts w:eastAsiaTheme="minorEastAsia"/>
          <w:lang w:val="en-US"/>
        </w:rPr>
        <w:t>significance of linear effect of income level</w:t>
      </w:r>
      <w:r>
        <w:rPr>
          <w:rFonts w:eastAsiaTheme="minorEastAsia"/>
          <w:lang w:val="en-US"/>
        </w:rPr>
        <w:t xml:space="preserve">. </w:t>
      </w:r>
    </w:p>
    <w:p w14:paraId="6D40D71F" w14:textId="77777777" w:rsidR="00AF0D68" w:rsidRDefault="00AF0D68" w:rsidP="00AF0D68">
      <w:pPr>
        <w:rPr>
          <w:rFonts w:eastAsiaTheme="minorEastAsia"/>
          <w:i/>
          <w:iCs/>
          <w:lang w:val="en-US"/>
        </w:rPr>
      </w:pPr>
    </w:p>
    <w:p w14:paraId="7098CC4D" w14:textId="437EA9B2" w:rsidR="005F5858" w:rsidRPr="005F5858" w:rsidRDefault="005F5858" w:rsidP="00AF0D68">
      <w:pPr>
        <w:rPr>
          <w:rFonts w:eastAsiaTheme="minorEastAsia"/>
          <w:i/>
          <w:iCs/>
          <w:lang w:val="en-US"/>
        </w:rPr>
      </w:pPr>
      <w:r w:rsidRPr="005F5858">
        <w:rPr>
          <w:rFonts w:eastAsiaTheme="minorEastAsia"/>
          <w:i/>
          <w:iCs/>
          <w:lang w:val="en-US"/>
        </w:rPr>
        <w:t>Data</w:t>
      </w:r>
    </w:p>
    <w:p w14:paraId="54C6E7DC" w14:textId="6F4139A9" w:rsidR="00EB72B6" w:rsidRDefault="005B401F" w:rsidP="00AF0D68">
      <w:pPr>
        <w:rPr>
          <w:rFonts w:eastAsiaTheme="minorEastAsia"/>
          <w:lang w:val="en-US"/>
        </w:rPr>
      </w:pPr>
      <w:r w:rsidRPr="005B401F">
        <w:rPr>
          <w:rFonts w:eastAsiaTheme="minorEastAsia"/>
          <w:lang w:val="en-US"/>
        </w:rPr>
        <w:t>As potential confounding variables, I introduce a number of factors, which are presented in Table 1 below. The right column depicts the role of each factor in the models. The designation "control" is applied to variables that can be incorporated into a given specification. The designation "constant control" is applied to variables that are included in each model. Consequently, for each dependent variable, 23,772 model specifications are estimated (ranging from four to 12 control variables with two constant controls).</w:t>
      </w:r>
    </w:p>
    <w:p w14:paraId="2C31BADB" w14:textId="77777777" w:rsidR="005B401F" w:rsidRDefault="005B401F" w:rsidP="00AF0D68">
      <w:pPr>
        <w:rPr>
          <w:rFonts w:eastAsiaTheme="minorEastAsia"/>
          <w:lang w:val="en-US"/>
        </w:rPr>
      </w:pPr>
    </w:p>
    <w:tbl>
      <w:tblPr>
        <w:tblStyle w:val="af5"/>
        <w:tblW w:w="0" w:type="auto"/>
        <w:tblLook w:val="04A0" w:firstRow="1" w:lastRow="0" w:firstColumn="1" w:lastColumn="0" w:noHBand="0" w:noVBand="1"/>
      </w:tblPr>
      <w:tblGrid>
        <w:gridCol w:w="3686"/>
        <w:gridCol w:w="3544"/>
        <w:gridCol w:w="2115"/>
      </w:tblGrid>
      <w:tr w:rsidR="008C230B" w:rsidRPr="005B3817" w14:paraId="74B56FB7" w14:textId="77777777" w:rsidTr="001674BC">
        <w:tc>
          <w:tcPr>
            <w:tcW w:w="9345" w:type="dxa"/>
            <w:gridSpan w:val="3"/>
            <w:tcBorders>
              <w:top w:val="nil"/>
              <w:left w:val="nil"/>
              <w:bottom w:val="single" w:sz="4" w:space="0" w:color="auto"/>
              <w:right w:val="nil"/>
            </w:tcBorders>
          </w:tcPr>
          <w:p w14:paraId="24949F71" w14:textId="67C4AB75" w:rsidR="008C230B" w:rsidRPr="00AF0D68" w:rsidRDefault="008C230B" w:rsidP="00AF0D68">
            <w:pPr>
              <w:spacing w:line="240" w:lineRule="auto"/>
              <w:rPr>
                <w:rFonts w:eastAsiaTheme="minorEastAsia"/>
                <w:lang w:val="en-US"/>
              </w:rPr>
            </w:pPr>
            <w:r w:rsidRPr="00AF0D68">
              <w:rPr>
                <w:rFonts w:eastAsiaTheme="minorEastAsia"/>
                <w:lang w:val="en-US"/>
              </w:rPr>
              <w:t xml:space="preserve">Table </w:t>
            </w:r>
            <w:r w:rsidR="00D4551A">
              <w:rPr>
                <w:rFonts w:eastAsiaTheme="minorEastAsia"/>
                <w:lang w:val="en-US"/>
              </w:rPr>
              <w:t>1</w:t>
            </w:r>
            <w:r w:rsidRPr="00AF0D68">
              <w:rPr>
                <w:rFonts w:eastAsiaTheme="minorEastAsia"/>
                <w:lang w:val="en-US"/>
              </w:rPr>
              <w:t>.</w:t>
            </w:r>
            <w:r w:rsidR="00D4551A">
              <w:rPr>
                <w:rFonts w:eastAsiaTheme="minorEastAsia"/>
                <w:lang w:val="en-US"/>
              </w:rPr>
              <w:t xml:space="preserve"> Variables used in the analysis</w:t>
            </w:r>
            <w:r w:rsidRPr="00AF0D68">
              <w:rPr>
                <w:rFonts w:eastAsiaTheme="minorEastAsia"/>
                <w:lang w:val="en-US"/>
              </w:rPr>
              <w:t xml:space="preserve"> </w:t>
            </w:r>
          </w:p>
        </w:tc>
      </w:tr>
      <w:tr w:rsidR="002E2956" w:rsidRPr="00AF0D68" w14:paraId="5EF5F9FD" w14:textId="77777777" w:rsidTr="001674BC">
        <w:tc>
          <w:tcPr>
            <w:tcW w:w="3686" w:type="dxa"/>
            <w:tcBorders>
              <w:top w:val="single" w:sz="4" w:space="0" w:color="auto"/>
              <w:left w:val="nil"/>
              <w:bottom w:val="single" w:sz="4" w:space="0" w:color="auto"/>
              <w:right w:val="nil"/>
            </w:tcBorders>
          </w:tcPr>
          <w:p w14:paraId="67A8C3E9" w14:textId="61B2FC6C" w:rsidR="002E2956" w:rsidRPr="00AF0D68" w:rsidRDefault="002E2956" w:rsidP="00AF0D68">
            <w:pPr>
              <w:spacing w:before="240" w:line="240" w:lineRule="auto"/>
              <w:rPr>
                <w:rFonts w:eastAsiaTheme="minorEastAsia"/>
                <w:lang w:val="en-US"/>
              </w:rPr>
            </w:pPr>
            <w:r w:rsidRPr="00AF0D68">
              <w:rPr>
                <w:rFonts w:eastAsiaTheme="minorEastAsia"/>
                <w:lang w:val="en-US"/>
              </w:rPr>
              <w:t xml:space="preserve">Variable </w:t>
            </w:r>
          </w:p>
        </w:tc>
        <w:tc>
          <w:tcPr>
            <w:tcW w:w="3544" w:type="dxa"/>
            <w:tcBorders>
              <w:top w:val="single" w:sz="4" w:space="0" w:color="auto"/>
              <w:left w:val="nil"/>
              <w:bottom w:val="single" w:sz="4" w:space="0" w:color="auto"/>
              <w:right w:val="nil"/>
            </w:tcBorders>
          </w:tcPr>
          <w:p w14:paraId="5070A8AC" w14:textId="69C06D7B" w:rsidR="002E2956" w:rsidRPr="00AF0D68" w:rsidRDefault="002E2956" w:rsidP="00AF0D68">
            <w:pPr>
              <w:spacing w:before="240" w:line="240" w:lineRule="auto"/>
              <w:rPr>
                <w:rFonts w:eastAsiaTheme="minorEastAsia"/>
                <w:lang w:val="en-US"/>
              </w:rPr>
            </w:pPr>
            <w:r w:rsidRPr="00AF0D68">
              <w:rPr>
                <w:rFonts w:eastAsiaTheme="minorEastAsia"/>
                <w:lang w:val="en-US"/>
              </w:rPr>
              <w:t xml:space="preserve">Source </w:t>
            </w:r>
          </w:p>
        </w:tc>
        <w:tc>
          <w:tcPr>
            <w:tcW w:w="2115" w:type="dxa"/>
            <w:tcBorders>
              <w:top w:val="single" w:sz="4" w:space="0" w:color="auto"/>
              <w:left w:val="nil"/>
              <w:bottom w:val="single" w:sz="4" w:space="0" w:color="auto"/>
              <w:right w:val="nil"/>
            </w:tcBorders>
          </w:tcPr>
          <w:p w14:paraId="0D039EF6" w14:textId="4D54493B" w:rsidR="002E2956" w:rsidRPr="00AF0D68" w:rsidRDefault="002E2956" w:rsidP="00AF0D68">
            <w:pPr>
              <w:spacing w:before="240" w:line="240" w:lineRule="auto"/>
              <w:rPr>
                <w:rFonts w:eastAsiaTheme="minorEastAsia"/>
                <w:lang w:val="en-US"/>
              </w:rPr>
            </w:pPr>
            <w:r w:rsidRPr="00AF0D68">
              <w:rPr>
                <w:rFonts w:eastAsiaTheme="minorEastAsia"/>
                <w:lang w:val="en-US"/>
              </w:rPr>
              <w:t>Role in the model</w:t>
            </w:r>
          </w:p>
        </w:tc>
      </w:tr>
      <w:tr w:rsidR="002E2956" w:rsidRPr="00AF0D68" w14:paraId="3AD7128A" w14:textId="77777777" w:rsidTr="001674BC">
        <w:tc>
          <w:tcPr>
            <w:tcW w:w="3686" w:type="dxa"/>
            <w:tcBorders>
              <w:top w:val="single" w:sz="4" w:space="0" w:color="auto"/>
              <w:left w:val="nil"/>
              <w:bottom w:val="nil"/>
              <w:right w:val="nil"/>
            </w:tcBorders>
          </w:tcPr>
          <w:p w14:paraId="1D8448B6" w14:textId="60D26C3D" w:rsidR="002E2956" w:rsidRPr="00AF0D68" w:rsidRDefault="002E2956" w:rsidP="00AF0D68">
            <w:pPr>
              <w:spacing w:before="240" w:line="240" w:lineRule="auto"/>
              <w:rPr>
                <w:rFonts w:eastAsiaTheme="minorEastAsia"/>
                <w:lang w:val="en-US"/>
              </w:rPr>
            </w:pPr>
            <w:r w:rsidRPr="00AF0D68">
              <w:lastRenderedPageBreak/>
              <w:t xml:space="preserve">Nonviolent </w:t>
            </w:r>
            <w:r w:rsidRPr="00AF0D68">
              <w:rPr>
                <w:lang w:val="en-US"/>
              </w:rPr>
              <w:t>campaign</w:t>
            </w:r>
            <w:r w:rsidRPr="00AF0D68">
              <w:t xml:space="preserve"> (NAVCO 1.3)</w:t>
            </w:r>
          </w:p>
        </w:tc>
        <w:tc>
          <w:tcPr>
            <w:tcW w:w="3544" w:type="dxa"/>
            <w:tcBorders>
              <w:top w:val="single" w:sz="4" w:space="0" w:color="auto"/>
              <w:left w:val="nil"/>
              <w:bottom w:val="nil"/>
              <w:right w:val="nil"/>
            </w:tcBorders>
          </w:tcPr>
          <w:p w14:paraId="76E633DF" w14:textId="6245948A"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NAVCO 1.3 </w:t>
            </w:r>
            <w:r w:rsidRPr="00AF0D68">
              <w:rPr>
                <w:rFonts w:eastAsiaTheme="minorEastAsia"/>
                <w:lang w:val="en-US"/>
              </w:rPr>
              <w:fldChar w:fldCharType="begin"/>
            </w:r>
            <w:r w:rsidRPr="00AF0D68">
              <w:rPr>
                <w:rFonts w:eastAsiaTheme="minorEastAsia"/>
                <w:lang w:val="en-US"/>
              </w:rPr>
              <w:instrText xml:space="preserve"> ADDIN ZOTERO_ITEM CSL_CITATION {"citationID":"rBORyepn","properties":{"formattedCitation":"(Chenoweth and Christopher 2020)","plainCitation":"(Chenoweth and Christopher 2020)","noteIndex":0},"citationItems":[{"id":547,"uris":["http://zotero.org/users/9380878/items/CBBGGSBE"],"itemData":{"id":547,"type":"book","event-place":"Cambridge, MA","publisher":"Harvard Dataverse","publisher-place":"Cambridge, MA","title":"List of Campaigns in NAVCO 1.3","author":[{"family":"Chenoweth","given":"Erica"},{"family":"Christopher","given":"W. S."}],"issued":{"date-parts":[["2020"]]}}}],"schema":"https://github.com/citation-style-language/schema/raw/master/csl-citation.json"}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(Chenoweth and Christopher 2020)</w:t>
            </w:r>
            <w:r w:rsidRPr="00AF0D68">
              <w:rPr>
                <w:rFonts w:eastAsiaTheme="minorEastAsia"/>
                <w:lang w:val="en-US"/>
              </w:rPr>
              <w:fldChar w:fldCharType="end"/>
            </w:r>
          </w:p>
        </w:tc>
        <w:tc>
          <w:tcPr>
            <w:tcW w:w="2115" w:type="dxa"/>
            <w:tcBorders>
              <w:top w:val="single" w:sz="4" w:space="0" w:color="auto"/>
              <w:left w:val="nil"/>
              <w:bottom w:val="nil"/>
              <w:right w:val="nil"/>
            </w:tcBorders>
          </w:tcPr>
          <w:p w14:paraId="7860F655" w14:textId="30447D99" w:rsidR="002E2956" w:rsidRPr="00AF0D68" w:rsidRDefault="002E2956" w:rsidP="00AF0D68">
            <w:pPr>
              <w:spacing w:before="240" w:line="240" w:lineRule="auto"/>
              <w:rPr>
                <w:rFonts w:eastAsiaTheme="minorEastAsia"/>
                <w:lang w:val="en-US"/>
              </w:rPr>
            </w:pPr>
            <w:r w:rsidRPr="00AF0D68">
              <w:rPr>
                <w:rFonts w:eastAsiaTheme="minorEastAsia"/>
                <w:lang w:val="en-US"/>
              </w:rPr>
              <w:t xml:space="preserve">Dependent variable </w:t>
            </w:r>
          </w:p>
        </w:tc>
      </w:tr>
      <w:tr w:rsidR="002E2956" w:rsidRPr="00AF0D68" w14:paraId="2AA345FB" w14:textId="77777777" w:rsidTr="001674BC">
        <w:tc>
          <w:tcPr>
            <w:tcW w:w="3686" w:type="dxa"/>
            <w:tcBorders>
              <w:top w:val="nil"/>
              <w:left w:val="nil"/>
              <w:bottom w:val="single" w:sz="4" w:space="0" w:color="auto"/>
              <w:right w:val="nil"/>
            </w:tcBorders>
          </w:tcPr>
          <w:p w14:paraId="67EF151E" w14:textId="61D03B9E" w:rsidR="002E2956" w:rsidRPr="00AF0D68" w:rsidRDefault="002E2956" w:rsidP="00AF0D68">
            <w:pPr>
              <w:spacing w:before="240" w:line="240" w:lineRule="auto"/>
              <w:rPr>
                <w:rFonts w:eastAsiaTheme="minorHAnsi"/>
                <w:lang w:val="en-US"/>
              </w:rPr>
            </w:pPr>
            <w:r w:rsidRPr="00AF0D68">
              <w:rPr>
                <w:lang w:val="en-US"/>
              </w:rPr>
              <w:t>Unarmed revolution (Beissinger's + Goldstone et al. data)</w:t>
            </w:r>
          </w:p>
        </w:tc>
        <w:tc>
          <w:tcPr>
            <w:tcW w:w="3544" w:type="dxa"/>
            <w:tcBorders>
              <w:top w:val="nil"/>
              <w:left w:val="nil"/>
              <w:bottom w:val="single" w:sz="4" w:space="0" w:color="auto"/>
              <w:right w:val="nil"/>
            </w:tcBorders>
          </w:tcPr>
          <w:p w14:paraId="5A0A09B2" w14:textId="04B43DEC"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Beissinger </w:t>
            </w:r>
            <w:r w:rsidRPr="00AF0D68">
              <w:rPr>
                <w:rFonts w:eastAsiaTheme="minorEastAsia"/>
                <w:lang w:val="en-US"/>
              </w:rPr>
              <w:fldChar w:fldCharType="begin"/>
            </w:r>
            <w:r w:rsidRPr="00AF0D68">
              <w:rPr>
                <w:rFonts w:eastAsiaTheme="minorEastAsia"/>
                <w:lang w:val="en-US"/>
              </w:rPr>
              <w:instrText xml:space="preserve"> ADDIN ZOTERO_ITEM CSL_CITATION {"citationID":"aWVyKNpM","properties":{"formattedCitation":"(2022)","plainCitation":"(2022)","noteIndex":0},"citationItems":[{"id":546,"uris":["http://zotero.org/users/9380878/items/5LXFALWC"],"itemData":{"id":546,"type":"book","ISBN":"0-691-22476-5","publisher":"Princeton University Press","title":"The Revolutionary City: Urbanization and the Global Transformation of Rebellion","author":[{"family":"Beissinger","given":"Mark"}],"issued":{"date-parts":[["2022"]]}},"label":"page","suppress-author":true}],"schema":"https://github.com/citation-style-language/schema/raw/master/csl-citation.json"}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(2022)</w:t>
            </w:r>
            <w:r w:rsidRPr="00AF0D68">
              <w:rPr>
                <w:rFonts w:eastAsiaTheme="minorEastAsia"/>
                <w:lang w:val="en-US"/>
              </w:rPr>
              <w:fldChar w:fldCharType="end"/>
            </w:r>
            <w:r w:rsidRPr="00AF0D68">
              <w:rPr>
                <w:rFonts w:eastAsiaTheme="minorEastAsia"/>
                <w:lang w:val="en-US"/>
              </w:rPr>
              <w:t xml:space="preserve">, Goldstone et al. </w:t>
            </w:r>
            <w:r w:rsidRPr="00AF0D68">
              <w:rPr>
                <w:rFonts w:eastAsiaTheme="minorEastAsia"/>
                <w:lang w:val="en-US"/>
              </w:rPr>
              <w:fldChar w:fldCharType="begin"/>
            </w:r>
            <w:r w:rsidRPr="00AF0D68">
              <w:rPr>
                <w:rFonts w:eastAsiaTheme="minorEastAsia"/>
                <w:lang w:val="en-US"/>
              </w:rPr>
              <w:instrText xml:space="preserve"> ADDIN ZOTERO_ITEM CSL_CITATION {"citationID":"HQvtg4ml","properties":{"formattedCitation":"(2023)","plainCitation":"(2023)","noteIndex":0},"citationItems":[{"id":715,"uris":["http://zotero.org/users/9380878/items/9WSYUCQ2"],"itemData":{"id":715,"type":"article-journal","DOI":"https://doi.org/10.17976/jpps/2023.04.05","issue":"4","journalAbbreviation":"Polis. Political Studies (In Russ.)","license":"All rights reserved","page":"54-71","title":"Revolutionary events of the 21st century: a preliminary quantitative analysis","author":[{"family":"Goldstone","given":"J. A."},{"family":"Grinin","given":"L.E."},{"family":"Ustyuzhanin","given":"V."},{"family":"Korotaev","given":"A."}],"issued":{"date-parts":[["2023"]]}},"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(2023)</w:t>
            </w:r>
            <w:r w:rsidRPr="00AF0D68">
              <w:rPr>
                <w:rFonts w:eastAsiaTheme="minorEastAsia"/>
                <w:lang w:val="en-US"/>
              </w:rPr>
              <w:fldChar w:fldCharType="end"/>
            </w:r>
            <w:r w:rsidRPr="00AF0D68">
              <w:rPr>
                <w:rFonts w:eastAsiaTheme="minorEastAsia"/>
                <w:lang w:val="en-US"/>
              </w:rPr>
              <w:t xml:space="preserve"> </w:t>
            </w:r>
          </w:p>
        </w:tc>
        <w:tc>
          <w:tcPr>
            <w:tcW w:w="2115" w:type="dxa"/>
            <w:tcBorders>
              <w:top w:val="nil"/>
              <w:left w:val="nil"/>
              <w:bottom w:val="single" w:sz="4" w:space="0" w:color="auto"/>
              <w:right w:val="nil"/>
            </w:tcBorders>
          </w:tcPr>
          <w:p w14:paraId="4E22DDC9" w14:textId="3009AFA9" w:rsidR="002E2956" w:rsidRPr="00AF0D68" w:rsidRDefault="002E2956" w:rsidP="00AF0D68">
            <w:pPr>
              <w:spacing w:before="240" w:line="240" w:lineRule="auto"/>
              <w:rPr>
                <w:rFonts w:eastAsiaTheme="minorEastAsia"/>
                <w:lang w:val="en-US"/>
              </w:rPr>
            </w:pPr>
            <w:r w:rsidRPr="00AF0D68">
              <w:rPr>
                <w:rFonts w:eastAsiaTheme="minorEastAsia"/>
                <w:lang w:val="en-US"/>
              </w:rPr>
              <w:t xml:space="preserve">Dependent variable </w:t>
            </w:r>
          </w:p>
        </w:tc>
      </w:tr>
      <w:tr w:rsidR="002E2956" w:rsidRPr="00AF0D68" w14:paraId="552ADCAD" w14:textId="77777777" w:rsidTr="001674BC">
        <w:tc>
          <w:tcPr>
            <w:tcW w:w="3686" w:type="dxa"/>
            <w:tcBorders>
              <w:top w:val="single" w:sz="4" w:space="0" w:color="auto"/>
              <w:left w:val="nil"/>
              <w:bottom w:val="single" w:sz="4" w:space="0" w:color="auto"/>
              <w:right w:val="nil"/>
            </w:tcBorders>
          </w:tcPr>
          <w:p w14:paraId="54C07F7B" w14:textId="7D5D871A" w:rsidR="002E2956" w:rsidRPr="00AF0D68" w:rsidRDefault="002E2956" w:rsidP="00AF0D68">
            <w:pPr>
              <w:spacing w:before="240" w:line="240" w:lineRule="auto"/>
              <w:rPr>
                <w:rFonts w:eastAsiaTheme="minorEastAsia"/>
                <w:lang w:val="en-US"/>
              </w:rPr>
            </w:pPr>
            <w:r w:rsidRPr="00AF0D68">
              <w:t xml:space="preserve">GDP </w:t>
            </w:r>
            <w:proofErr w:type="spellStart"/>
            <w:r w:rsidRPr="00AF0D68">
              <w:t>pc</w:t>
            </w:r>
            <w:proofErr w:type="spellEnd"/>
            <w:r w:rsidRPr="00AF0D68">
              <w:t xml:space="preserve"> (2017$, PPP), </w:t>
            </w:r>
            <w:proofErr w:type="spellStart"/>
            <w:r w:rsidRPr="00AF0D68">
              <w:t>ln</w:t>
            </w:r>
            <w:proofErr w:type="spellEnd"/>
          </w:p>
        </w:tc>
        <w:tc>
          <w:tcPr>
            <w:tcW w:w="3544" w:type="dxa"/>
            <w:tcBorders>
              <w:top w:val="single" w:sz="4" w:space="0" w:color="auto"/>
              <w:left w:val="nil"/>
              <w:bottom w:val="single" w:sz="4" w:space="0" w:color="auto"/>
              <w:right w:val="nil"/>
            </w:tcBorders>
          </w:tcPr>
          <w:p w14:paraId="77E76E97" w14:textId="113CA905" w:rsidR="002E2956" w:rsidRPr="00AF0D68" w:rsidRDefault="00073A14" w:rsidP="00AF0D68">
            <w:pPr>
              <w:spacing w:before="240" w:line="240" w:lineRule="auto"/>
              <w:rPr>
                <w:rFonts w:eastAsiaTheme="minorEastAsia"/>
                <w:lang w:val="en-US"/>
              </w:rPr>
            </w:pPr>
            <w:proofErr w:type="spellStart"/>
            <w:r w:rsidRPr="00AF0D68">
              <w:rPr>
                <w:rFonts w:eastAsiaTheme="minorEastAsia"/>
                <w:lang w:val="en-US"/>
              </w:rPr>
              <w:t>Gapminder</w:t>
            </w:r>
            <w:proofErr w:type="spellEnd"/>
            <w:r w:rsidRPr="00AF0D68">
              <w:rPr>
                <w:rFonts w:eastAsiaTheme="minorEastAsia"/>
                <w:lang w:val="en-US"/>
              </w:rPr>
              <w:t xml:space="preserve"> </w:t>
            </w:r>
            <w:r w:rsidRPr="00AF0D68">
              <w:rPr>
                <w:rFonts w:eastAsiaTheme="minorEastAsia"/>
                <w:lang w:val="en-US"/>
              </w:rPr>
              <w:fldChar w:fldCharType="begin"/>
            </w:r>
            <w:r w:rsidRPr="00AF0D68">
              <w:rPr>
                <w:rFonts w:eastAsiaTheme="minorEastAsia"/>
                <w:lang w:val="en-US"/>
              </w:rPr>
              <w:instrText xml:space="preserve"> ADDIN ZOTERO_ITEM CSL_CITATION {"citationID":"7K84FnTN","properties":{"formattedCitation":"(2024)","plainCitation":"(2024)","noteIndex":0},"citationItems":[{"id":1803,"uris":["http://zotero.org/users/9380878/items/BXDQPTVH"],"itemData":{"id":1803,"type":"webpage","title":"GDP per capita in constant PPP dollars (v30)","URL":"https://www.gapminder.org/data/documentation/gd001/","author":[{"family":"Gapminder","given":""}],"issued":{"date-parts":[["2024"]]}},"label":"page","suppress-author":true}],"schema":"https://github.com/citation-style-language/schema/raw/master/csl-citation.json"}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(2024)</w:t>
            </w:r>
            <w:r w:rsidRPr="00AF0D68">
              <w:rPr>
                <w:rFonts w:eastAsiaTheme="minorEastAsia"/>
                <w:lang w:val="en-US"/>
              </w:rPr>
              <w:fldChar w:fldCharType="end"/>
            </w:r>
          </w:p>
        </w:tc>
        <w:tc>
          <w:tcPr>
            <w:tcW w:w="2115" w:type="dxa"/>
            <w:tcBorders>
              <w:top w:val="single" w:sz="4" w:space="0" w:color="auto"/>
              <w:left w:val="nil"/>
              <w:bottom w:val="single" w:sz="4" w:space="0" w:color="auto"/>
              <w:right w:val="nil"/>
            </w:tcBorders>
          </w:tcPr>
          <w:p w14:paraId="048AA00E" w14:textId="6316430C" w:rsidR="002E2956" w:rsidRPr="00AF0D68" w:rsidRDefault="002E2956" w:rsidP="00AF0D68">
            <w:pPr>
              <w:spacing w:before="240" w:line="240" w:lineRule="auto"/>
              <w:rPr>
                <w:rFonts w:eastAsiaTheme="minorEastAsia"/>
                <w:lang w:val="en-US"/>
              </w:rPr>
            </w:pPr>
            <w:r w:rsidRPr="00AF0D68">
              <w:rPr>
                <w:lang w:val="en-US"/>
              </w:rPr>
              <w:t>Main independent variable</w:t>
            </w:r>
          </w:p>
        </w:tc>
      </w:tr>
      <w:tr w:rsidR="00B92AD5" w:rsidRPr="00AF0D68" w14:paraId="3159BBFA" w14:textId="77777777" w:rsidTr="001674BC">
        <w:tc>
          <w:tcPr>
            <w:tcW w:w="3686" w:type="dxa"/>
            <w:tcBorders>
              <w:top w:val="single" w:sz="4" w:space="0" w:color="auto"/>
              <w:left w:val="nil"/>
              <w:bottom w:val="nil"/>
              <w:right w:val="nil"/>
            </w:tcBorders>
          </w:tcPr>
          <w:p w14:paraId="7E0B2A6A" w14:textId="39A9BA44" w:rsidR="00B92AD5" w:rsidRPr="00AF0D68" w:rsidRDefault="00B92AD5" w:rsidP="00AF0D68">
            <w:pPr>
              <w:spacing w:before="240" w:line="240" w:lineRule="auto"/>
            </w:pPr>
            <w:proofErr w:type="spellStart"/>
            <w:r w:rsidRPr="00AF0D68">
              <w:t>Population</w:t>
            </w:r>
            <w:proofErr w:type="spellEnd"/>
            <w:r w:rsidRPr="00AF0D68">
              <w:t xml:space="preserve"> (</w:t>
            </w:r>
            <w:proofErr w:type="spellStart"/>
            <w:r w:rsidRPr="00AF0D68">
              <w:t>in</w:t>
            </w:r>
            <w:proofErr w:type="spellEnd"/>
            <w:r w:rsidRPr="00AF0D68">
              <w:t xml:space="preserve"> </w:t>
            </w:r>
            <w:proofErr w:type="spellStart"/>
            <w:r w:rsidRPr="00AF0D68">
              <w:t>thousands</w:t>
            </w:r>
            <w:proofErr w:type="spellEnd"/>
            <w:r w:rsidRPr="00AF0D68">
              <w:t xml:space="preserve">), </w:t>
            </w:r>
            <w:proofErr w:type="spellStart"/>
            <w:r w:rsidRPr="00AF0D68">
              <w:t>ln</w:t>
            </w:r>
            <w:proofErr w:type="spellEnd"/>
          </w:p>
        </w:tc>
        <w:tc>
          <w:tcPr>
            <w:tcW w:w="3544" w:type="dxa"/>
            <w:tcBorders>
              <w:top w:val="single" w:sz="4" w:space="0" w:color="auto"/>
              <w:left w:val="nil"/>
              <w:bottom w:val="nil"/>
              <w:right w:val="nil"/>
            </w:tcBorders>
          </w:tcPr>
          <w:p w14:paraId="0D670D30" w14:textId="0A3CC526" w:rsidR="00B92AD5" w:rsidRPr="00AF0D68" w:rsidRDefault="00073A14" w:rsidP="00AF0D68">
            <w:pPr>
              <w:spacing w:before="240" w:line="240" w:lineRule="auto"/>
              <w:rPr>
                <w:rFonts w:eastAsiaTheme="minorEastAsia"/>
                <w:lang w:val="en-US"/>
              </w:rPr>
            </w:pPr>
            <w:r w:rsidRPr="00AF0D68">
              <w:rPr>
                <w:rFonts w:eastAsiaTheme="minorEastAsia"/>
                <w:lang w:val="en-US"/>
              </w:rPr>
              <w:t xml:space="preserve">World Population Prospects, UN </w:t>
            </w:r>
            <w:r w:rsidRPr="00AF0D68">
              <w:rPr>
                <w:rFonts w:eastAsiaTheme="minorEastAsia"/>
                <w:lang w:val="en-US"/>
              </w:rPr>
              <w:fldChar w:fldCharType="begin"/>
            </w:r>
            <w:r w:rsidRPr="00AF0D68">
              <w:rPr>
                <w:rFonts w:eastAsiaTheme="minorEastAsia"/>
                <w:lang w:val="en-US"/>
              </w:rPr>
              <w:instrText xml:space="preserve"> ADDIN ZOTERO_ITEM CSL_CITATION {"citationID":"olYtilt1","properties":{"formattedCitation":"(2022)","plainCitation":"(2022)","noteIndex":0},"citationItems":[{"id":714,"uris":["http://zotero.org/users/9380878/items/SBLLLD4Z"],"itemData":{"id":714,"type":"dataset","title":"World Population Prospects","title-short":"nited Nations Departament of Economis and social Affairs, Population Division","URL":"https://population.un.org/wpp","author":[{"family":"United Nations","given":""}],"issued":{"date-parts":[["2022"]]}},"label":"page","suppress-author":true}],"schema":"https://github.com/citation-style-language/schema/raw/master/csl-citation.json"}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(2022)</w:t>
            </w:r>
            <w:r w:rsidRPr="00AF0D68">
              <w:rPr>
                <w:rFonts w:eastAsiaTheme="minorEastAsia"/>
                <w:lang w:val="en-US"/>
              </w:rPr>
              <w:fldChar w:fldCharType="end"/>
            </w:r>
          </w:p>
        </w:tc>
        <w:tc>
          <w:tcPr>
            <w:tcW w:w="2115" w:type="dxa"/>
            <w:tcBorders>
              <w:top w:val="single" w:sz="4" w:space="0" w:color="auto"/>
              <w:left w:val="nil"/>
              <w:bottom w:val="nil"/>
              <w:right w:val="nil"/>
            </w:tcBorders>
          </w:tcPr>
          <w:p w14:paraId="45719479" w14:textId="64D71141" w:rsidR="00B92AD5" w:rsidRPr="00AF0D68" w:rsidRDefault="00B92AD5" w:rsidP="00AF0D68">
            <w:pPr>
              <w:spacing w:before="240" w:line="240" w:lineRule="auto"/>
              <w:rPr>
                <w:lang w:val="en-US"/>
              </w:rPr>
            </w:pPr>
            <w:r w:rsidRPr="00AF0D68">
              <w:rPr>
                <w:lang w:val="en-US"/>
              </w:rPr>
              <w:t>Constant control variable</w:t>
            </w:r>
          </w:p>
        </w:tc>
      </w:tr>
      <w:tr w:rsidR="00B92AD5" w:rsidRPr="00AF0D68" w14:paraId="343A1080" w14:textId="77777777" w:rsidTr="001674BC">
        <w:tc>
          <w:tcPr>
            <w:tcW w:w="3686" w:type="dxa"/>
            <w:tcBorders>
              <w:top w:val="nil"/>
              <w:left w:val="nil"/>
              <w:bottom w:val="single" w:sz="4" w:space="0" w:color="auto"/>
              <w:right w:val="nil"/>
            </w:tcBorders>
          </w:tcPr>
          <w:p w14:paraId="5A8D2D60" w14:textId="3A8282C8" w:rsidR="00B92AD5" w:rsidRPr="00AF0D68" w:rsidRDefault="00B92AD5" w:rsidP="00AF0D68">
            <w:pPr>
              <w:spacing w:before="240" w:line="240" w:lineRule="auto"/>
            </w:pPr>
            <w:proofErr w:type="spellStart"/>
            <w:r w:rsidRPr="00AF0D68">
              <w:t>Polity</w:t>
            </w:r>
            <w:proofErr w:type="spellEnd"/>
            <w:r w:rsidRPr="00AF0D68">
              <w:t xml:space="preserve"> </w:t>
            </w:r>
            <w:proofErr w:type="spellStart"/>
            <w:r w:rsidRPr="00AF0D68">
              <w:t>score</w:t>
            </w:r>
            <w:proofErr w:type="spellEnd"/>
          </w:p>
        </w:tc>
        <w:tc>
          <w:tcPr>
            <w:tcW w:w="3544" w:type="dxa"/>
            <w:tcBorders>
              <w:top w:val="nil"/>
              <w:left w:val="nil"/>
              <w:bottom w:val="single" w:sz="4" w:space="0" w:color="auto"/>
              <w:right w:val="nil"/>
            </w:tcBorders>
          </w:tcPr>
          <w:p w14:paraId="7512A79E" w14:textId="014E6C3C" w:rsidR="00B92AD5" w:rsidRPr="00AF0D68" w:rsidRDefault="00073A14" w:rsidP="00AF0D68">
            <w:pPr>
              <w:spacing w:before="240" w:line="240" w:lineRule="auto"/>
              <w:rPr>
                <w:rFonts w:eastAsiaTheme="minorEastAsia"/>
                <w:lang w:val="en-US"/>
              </w:rPr>
            </w:pPr>
            <w:r w:rsidRPr="00AF0D68">
              <w:rPr>
                <w:rFonts w:eastAsiaTheme="minorEastAsia"/>
                <w:lang w:val="en-US"/>
              </w:rPr>
              <w:t xml:space="preserve">Polity-V data </w:t>
            </w:r>
            <w:r w:rsidRPr="00AF0D68">
              <w:rPr>
                <w:rFonts w:eastAsiaTheme="minorEastAsia"/>
                <w:lang w:val="en-US"/>
              </w:rPr>
              <w:fldChar w:fldCharType="begin"/>
            </w:r>
            <w:r w:rsidRPr="00AF0D68">
              <w:rPr>
                <w:rFonts w:eastAsiaTheme="minorEastAsia"/>
                <w:lang w:val="en-US"/>
              </w:rPr>
              <w:instrText xml:space="preserve"> ADDIN ZOTERO_ITEM CSL_CITATION {"citationID":"8hsTNUNq","properties":{"formattedCitation":"(Marshall and Keith 2020)","plainCitation":"(Marshall and Keith 2020)","noteIndex":0},"citationItems":[{"id":727,"uris":["http://zotero.org/users/9380878/items/3DTJKDSR"],"itemData":{"id":727,"type":"dataset","title":"Polity V Project: Political Regime Characteristics and Transitions 1800–2018","URL":"https://www.systemicpeace.org/polityproject.html","author":[{"family":"Marshall","given":"Monty G."},{"family":"Keith","given":"Jaggers"}],"issued":{"date-parts":[["2020"]]}}}],"schema":"https://github.com/citation-style-language/schema/raw/master/csl-citation.json"}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(Marshall and Keith 2020)</w:t>
            </w:r>
            <w:r w:rsidRPr="00AF0D68">
              <w:rPr>
                <w:rFonts w:eastAsiaTheme="minorEastAsia"/>
                <w:lang w:val="en-US"/>
              </w:rPr>
              <w:fldChar w:fldCharType="end"/>
            </w:r>
          </w:p>
        </w:tc>
        <w:tc>
          <w:tcPr>
            <w:tcW w:w="2115" w:type="dxa"/>
            <w:tcBorders>
              <w:top w:val="nil"/>
              <w:left w:val="nil"/>
              <w:bottom w:val="single" w:sz="4" w:space="0" w:color="auto"/>
              <w:right w:val="nil"/>
            </w:tcBorders>
          </w:tcPr>
          <w:p w14:paraId="67B5603E" w14:textId="5A742A01" w:rsidR="00B92AD5" w:rsidRPr="00AF0D68" w:rsidRDefault="00B92AD5" w:rsidP="00AF0D68">
            <w:pPr>
              <w:spacing w:before="240" w:line="240" w:lineRule="auto"/>
              <w:rPr>
                <w:lang w:val="en-US"/>
              </w:rPr>
            </w:pPr>
            <w:r w:rsidRPr="00AF0D68">
              <w:rPr>
                <w:lang w:val="en-US"/>
              </w:rPr>
              <w:t>Constant control variable</w:t>
            </w:r>
          </w:p>
        </w:tc>
      </w:tr>
      <w:tr w:rsidR="002E2956" w:rsidRPr="00AF0D68" w14:paraId="4A5B0608" w14:textId="77777777" w:rsidTr="001674BC">
        <w:tc>
          <w:tcPr>
            <w:tcW w:w="3686" w:type="dxa"/>
            <w:tcBorders>
              <w:top w:val="single" w:sz="4" w:space="0" w:color="auto"/>
              <w:left w:val="nil"/>
              <w:bottom w:val="nil"/>
              <w:right w:val="nil"/>
            </w:tcBorders>
          </w:tcPr>
          <w:p w14:paraId="6860BD66" w14:textId="2C807738" w:rsidR="002E2956" w:rsidRPr="00AF0D68" w:rsidRDefault="00B92AD5" w:rsidP="00AF0D68">
            <w:pPr>
              <w:spacing w:before="240" w:line="240" w:lineRule="auto"/>
              <w:rPr>
                <w:rFonts w:eastAsiaTheme="minorEastAsia"/>
                <w:lang w:val="en-US"/>
              </w:rPr>
            </w:pPr>
            <w:r w:rsidRPr="00AF0D68">
              <w:rPr>
                <w:lang w:val="en-US"/>
              </w:rPr>
              <w:t>Growth of GDP pc, 5-year average</w:t>
            </w:r>
          </w:p>
        </w:tc>
        <w:tc>
          <w:tcPr>
            <w:tcW w:w="3544" w:type="dxa"/>
            <w:tcBorders>
              <w:top w:val="single" w:sz="4" w:space="0" w:color="auto"/>
              <w:left w:val="nil"/>
              <w:bottom w:val="nil"/>
              <w:right w:val="nil"/>
            </w:tcBorders>
          </w:tcPr>
          <w:p w14:paraId="624EE91D" w14:textId="45B96261" w:rsidR="002E2956" w:rsidRPr="00AF0D68" w:rsidRDefault="00073A14" w:rsidP="00AF0D68">
            <w:pPr>
              <w:spacing w:before="240" w:line="240" w:lineRule="auto"/>
              <w:rPr>
                <w:rFonts w:eastAsiaTheme="minorEastAsia"/>
                <w:lang w:val="en-US"/>
              </w:rPr>
            </w:pPr>
            <w:r w:rsidRPr="00AF0D68">
              <w:rPr>
                <w:rFonts w:eastAsiaTheme="minorEastAsia"/>
                <w:lang w:val="en-US"/>
              </w:rPr>
              <w:t>Calculated from GDP per capita data</w:t>
            </w:r>
          </w:p>
        </w:tc>
        <w:tc>
          <w:tcPr>
            <w:tcW w:w="2115" w:type="dxa"/>
            <w:tcBorders>
              <w:top w:val="single" w:sz="4" w:space="0" w:color="auto"/>
              <w:left w:val="nil"/>
              <w:bottom w:val="nil"/>
              <w:right w:val="nil"/>
            </w:tcBorders>
          </w:tcPr>
          <w:p w14:paraId="0851EF6E" w14:textId="2DFE0285" w:rsidR="002E2956" w:rsidRPr="00AF0D68" w:rsidRDefault="00B92AD5" w:rsidP="00AF0D68">
            <w:pPr>
              <w:spacing w:before="240" w:line="240" w:lineRule="auto"/>
              <w:rPr>
                <w:rFonts w:eastAsiaTheme="minorEastAsia"/>
                <w:lang w:val="en-US"/>
              </w:rPr>
            </w:pPr>
            <w:r w:rsidRPr="00AF0D68">
              <w:rPr>
                <w:rFonts w:eastAsiaTheme="minorEastAsia"/>
                <w:lang w:val="en-US"/>
              </w:rPr>
              <w:t xml:space="preserve">Control variable </w:t>
            </w:r>
          </w:p>
        </w:tc>
      </w:tr>
      <w:tr w:rsidR="002E2956" w:rsidRPr="00AF0D68" w14:paraId="36C4BDD9" w14:textId="77777777" w:rsidTr="001674BC">
        <w:tc>
          <w:tcPr>
            <w:tcW w:w="3686" w:type="dxa"/>
            <w:tcBorders>
              <w:top w:val="nil"/>
              <w:left w:val="nil"/>
              <w:bottom w:val="nil"/>
              <w:right w:val="nil"/>
            </w:tcBorders>
          </w:tcPr>
          <w:p w14:paraId="21034E27" w14:textId="6E69591A" w:rsidR="002E2956" w:rsidRPr="00AF0D68" w:rsidRDefault="00B92AD5" w:rsidP="00AF0D68">
            <w:pPr>
              <w:spacing w:before="240" w:line="240" w:lineRule="auto"/>
              <w:rPr>
                <w:rFonts w:eastAsiaTheme="minorEastAsia"/>
                <w:lang w:val="en-US"/>
              </w:rPr>
            </w:pPr>
            <w:r w:rsidRPr="00AF0D68">
              <w:rPr>
                <w:lang w:val="en-US"/>
              </w:rPr>
              <w:t>Regime durability (in years), ln</w:t>
            </w:r>
          </w:p>
        </w:tc>
        <w:tc>
          <w:tcPr>
            <w:tcW w:w="3544" w:type="dxa"/>
            <w:tcBorders>
              <w:top w:val="nil"/>
              <w:left w:val="nil"/>
              <w:bottom w:val="nil"/>
              <w:right w:val="nil"/>
            </w:tcBorders>
          </w:tcPr>
          <w:p w14:paraId="16DA0191" w14:textId="158C4836"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Polity-V data </w:t>
            </w:r>
            <w:r w:rsidRPr="00AF0D68">
              <w:rPr>
                <w:rFonts w:eastAsiaTheme="minorEastAsia"/>
                <w:lang w:val="en-US"/>
              </w:rPr>
              <w:fldChar w:fldCharType="begin"/>
            </w:r>
            <w:r w:rsidRPr="00AF0D68">
              <w:rPr>
                <w:rFonts w:eastAsiaTheme="minorEastAsia"/>
                <w:lang w:val="en-US"/>
              </w:rPr>
              <w:instrText xml:space="preserve"> ADDIN ZOTERO_ITEM CSL_CITATION {"citationID":"vEbzV89u","properties":{"formattedCitation":"(Marshall and Keith 2020)","plainCitation":"(Marshall and Keith 2020)","noteIndex":0},"citationItems":[{"id":727,"uris":["http://zotero.org/users/9380878/items/3DTJKDSR"],"itemData":{"id":727,"type":"dataset","title":"Polity V Project: Political Regime Characteristics and Transitions 1800–2018","URL":"https://www.systemicpeace.org/polityproject.html","author":[{"family":"Marshall","given":"Monty G."},{"family":"Keith","given":"Jaggers"}],"issued":{"date-parts":[["2020"]]}}}],"schema":"https://github.com/citation-style-language/schema/raw/master/csl-citation.json"}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(Marshall and Keith 2020)</w:t>
            </w:r>
            <w:r w:rsidRPr="00AF0D68">
              <w:rPr>
                <w:rFonts w:eastAsiaTheme="minorEastAsia"/>
                <w:lang w:val="en-US"/>
              </w:rPr>
              <w:fldChar w:fldCharType="end"/>
            </w:r>
          </w:p>
        </w:tc>
        <w:tc>
          <w:tcPr>
            <w:tcW w:w="2115" w:type="dxa"/>
            <w:tcBorders>
              <w:top w:val="nil"/>
              <w:left w:val="nil"/>
              <w:bottom w:val="nil"/>
              <w:right w:val="nil"/>
            </w:tcBorders>
          </w:tcPr>
          <w:p w14:paraId="447AD185" w14:textId="07C7B067" w:rsidR="002E2956" w:rsidRPr="00AF0D68" w:rsidRDefault="001674BC" w:rsidP="00AF0D68">
            <w:pPr>
              <w:spacing w:before="240" w:line="240" w:lineRule="auto"/>
              <w:rPr>
                <w:rFonts w:eastAsiaTheme="minorEastAsia"/>
                <w:lang w:val="en-US"/>
              </w:rPr>
            </w:pPr>
            <w:r w:rsidRPr="00AF0D68">
              <w:rPr>
                <w:rFonts w:eastAsiaTheme="minorEastAsia"/>
                <w:lang w:val="en-US"/>
              </w:rPr>
              <w:t>Control variable</w:t>
            </w:r>
          </w:p>
        </w:tc>
      </w:tr>
      <w:tr w:rsidR="002E2956" w:rsidRPr="00AF0D68" w14:paraId="75B0E328" w14:textId="77777777" w:rsidTr="001674BC">
        <w:tc>
          <w:tcPr>
            <w:tcW w:w="3686" w:type="dxa"/>
            <w:tcBorders>
              <w:top w:val="nil"/>
              <w:left w:val="nil"/>
              <w:bottom w:val="nil"/>
              <w:right w:val="nil"/>
            </w:tcBorders>
          </w:tcPr>
          <w:p w14:paraId="34B40234" w14:textId="4C254EB9" w:rsidR="002E2956" w:rsidRPr="00AF0D68" w:rsidRDefault="00B92AD5" w:rsidP="00AF0D68">
            <w:pPr>
              <w:spacing w:before="240" w:line="240" w:lineRule="auto"/>
              <w:rPr>
                <w:rFonts w:eastAsiaTheme="minorEastAsia"/>
                <w:lang w:val="en-US"/>
              </w:rPr>
            </w:pPr>
            <w:proofErr w:type="spellStart"/>
            <w:r w:rsidRPr="00AF0D68">
              <w:t>Urbanization</w:t>
            </w:r>
            <w:proofErr w:type="spellEnd"/>
            <w:r w:rsidRPr="00AF0D68">
              <w:t xml:space="preserve"> (</w:t>
            </w:r>
            <w:proofErr w:type="spellStart"/>
            <w:r w:rsidRPr="00AF0D68">
              <w:t>in</w:t>
            </w:r>
            <w:proofErr w:type="spellEnd"/>
            <w:r w:rsidRPr="00AF0D68">
              <w:t xml:space="preserve"> %)</w:t>
            </w:r>
          </w:p>
        </w:tc>
        <w:tc>
          <w:tcPr>
            <w:tcW w:w="3544" w:type="dxa"/>
            <w:tcBorders>
              <w:top w:val="nil"/>
              <w:left w:val="nil"/>
              <w:bottom w:val="nil"/>
              <w:right w:val="nil"/>
            </w:tcBorders>
          </w:tcPr>
          <w:p w14:paraId="78C54C98" w14:textId="7C13012A"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Beissinger </w:t>
            </w:r>
            <w:r w:rsidRPr="00AF0D68">
              <w:rPr>
                <w:rFonts w:eastAsiaTheme="minorEastAsia"/>
                <w:lang w:val="en-US"/>
              </w:rPr>
              <w:fldChar w:fldCharType="begin"/>
            </w:r>
            <w:r w:rsidRPr="00AF0D68">
              <w:rPr>
                <w:rFonts w:eastAsiaTheme="minorEastAsia"/>
                <w:lang w:val="en-US"/>
              </w:rPr>
              <w:instrText xml:space="preserve"> ADDIN ZOTERO_ITEM CSL_CITATION {"citationID":"DHkccE8d","properties":{"formattedCitation":"(2022)","plainCitation":"(2022)","noteIndex":0},"citationItems":[{"id":546,"uris":["http://zotero.org/users/9380878/items/5LXFALWC"],"itemData":{"id":546,"type":"book","ISBN":"0-691-22476-5","publisher":"Princeton University Press","title":"The Revolutionary City: Urbanization and the Global Transformation of Rebellion","author":[{"family":"Beissinger","given":"Mark"}],"issued":{"date-parts":[["2022"]]}},"label":"page","suppress-author":true}],"schema":"https://github.com/citation-style-language/schema/raw/master/csl-citation.json"}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(2022)</w:t>
            </w:r>
            <w:r w:rsidRPr="00AF0D68">
              <w:rPr>
                <w:rFonts w:eastAsiaTheme="minorEastAsia"/>
                <w:lang w:val="en-US"/>
              </w:rPr>
              <w:fldChar w:fldCharType="end"/>
            </w:r>
            <w:r w:rsidRPr="00AF0D68">
              <w:rPr>
                <w:rFonts w:eastAsiaTheme="minorEastAsia"/>
                <w:lang w:val="en-US"/>
              </w:rPr>
              <w:t xml:space="preserve"> and </w:t>
            </w:r>
            <w:r w:rsidRPr="00AF0D68">
              <w:rPr>
                <w:lang w:val="en-US"/>
              </w:rPr>
              <w:t xml:space="preserve">World Bank </w:t>
            </w:r>
            <w:r w:rsidRPr="00AF0D68">
              <w:rPr>
                <w:lang w:val="en-US"/>
              </w:rPr>
              <w:fldChar w:fldCharType="begin"/>
            </w:r>
            <w:r w:rsidRPr="00AF0D68">
              <w:rPr>
                <w:lang w:val="en-US"/>
              </w:rPr>
              <w:instrText xml:space="preserve"> ADDIN ZOTERO_ITEM CSL_CITATION {"citationID":"mLQI795c","properties":{"formattedCitation":"(2023)","plainCitation":"(2023)","noteIndex":0},"citationItems":[{"id":29,"uris":["http://zotero.org/users/9380878/items/ENQT4WWI"],"itemData":{"id":29,"type":"webpage","title":"The World Bank databank: World Development Indicators","URL":"https://databank.worldbank.org/","author":[{"family":"The World Bank","given":""}],"accessed":{"date-parts":[["2022",5,25]]},"issued":{"date-parts":[["2023"]]}},"label":"page","suppress-author":true}],"schema":"https://github.com/citation-style-language/schema/raw/master/csl-citation.json"} </w:instrText>
            </w:r>
            <w:r w:rsidRPr="00AF0D68">
              <w:rPr>
                <w:lang w:val="en-US"/>
              </w:rPr>
              <w:fldChar w:fldCharType="separate"/>
            </w:r>
            <w:r w:rsidRPr="00AF0D68">
              <w:rPr>
                <w:noProof/>
                <w:lang w:val="en-US"/>
              </w:rPr>
              <w:t>(2023)</w:t>
            </w:r>
            <w:r w:rsidRPr="00AF0D68">
              <w:rPr>
                <w:lang w:val="en-US"/>
              </w:rPr>
              <w:fldChar w:fldCharType="end"/>
            </w:r>
          </w:p>
        </w:tc>
        <w:tc>
          <w:tcPr>
            <w:tcW w:w="2115" w:type="dxa"/>
            <w:tcBorders>
              <w:top w:val="nil"/>
              <w:left w:val="nil"/>
              <w:bottom w:val="nil"/>
              <w:right w:val="nil"/>
            </w:tcBorders>
          </w:tcPr>
          <w:p w14:paraId="44185CE7" w14:textId="12C70A0E" w:rsidR="002E2956" w:rsidRPr="00AF0D68" w:rsidRDefault="001674BC" w:rsidP="00AF0D68">
            <w:pPr>
              <w:spacing w:before="240" w:line="240" w:lineRule="auto"/>
              <w:rPr>
                <w:rFonts w:eastAsiaTheme="minorEastAsia"/>
                <w:lang w:val="en-US"/>
              </w:rPr>
            </w:pPr>
            <w:r w:rsidRPr="00AF0D68">
              <w:rPr>
                <w:rFonts w:eastAsiaTheme="minorEastAsia"/>
                <w:lang w:val="en-US"/>
              </w:rPr>
              <w:t>Control variable</w:t>
            </w:r>
          </w:p>
        </w:tc>
      </w:tr>
      <w:tr w:rsidR="002E2956" w:rsidRPr="00AF0D68" w14:paraId="359A9321" w14:textId="77777777" w:rsidTr="001674BC">
        <w:tc>
          <w:tcPr>
            <w:tcW w:w="3686" w:type="dxa"/>
            <w:tcBorders>
              <w:top w:val="nil"/>
              <w:left w:val="nil"/>
              <w:bottom w:val="nil"/>
              <w:right w:val="nil"/>
            </w:tcBorders>
          </w:tcPr>
          <w:p w14:paraId="1E075C2F" w14:textId="12D99691" w:rsidR="002E2956" w:rsidRPr="00AF0D68" w:rsidRDefault="00B92AD5" w:rsidP="00AF0D68">
            <w:pPr>
              <w:spacing w:before="240" w:line="240" w:lineRule="auto"/>
              <w:rPr>
                <w:rFonts w:eastAsiaTheme="minorEastAsia"/>
                <w:lang w:val="en-US"/>
              </w:rPr>
            </w:pPr>
            <w:r w:rsidRPr="00AF0D68">
              <w:t xml:space="preserve">Executive </w:t>
            </w:r>
            <w:proofErr w:type="spellStart"/>
            <w:r w:rsidRPr="00AF0D68">
              <w:t>corruption</w:t>
            </w:r>
            <w:proofErr w:type="spellEnd"/>
            <w:r w:rsidRPr="00AF0D68">
              <w:t xml:space="preserve"> </w:t>
            </w:r>
            <w:proofErr w:type="spellStart"/>
            <w:r w:rsidRPr="00AF0D68">
              <w:t>index</w:t>
            </w:r>
            <w:proofErr w:type="spellEnd"/>
          </w:p>
        </w:tc>
        <w:tc>
          <w:tcPr>
            <w:tcW w:w="3544" w:type="dxa"/>
            <w:tcBorders>
              <w:top w:val="nil"/>
              <w:left w:val="nil"/>
              <w:bottom w:val="nil"/>
              <w:right w:val="nil"/>
            </w:tcBorders>
          </w:tcPr>
          <w:p w14:paraId="1B684B12" w14:textId="35413DED"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V-Dem </w:t>
            </w:r>
            <w:r w:rsidRPr="00AF0D68">
              <w:rPr>
                <w:rFonts w:eastAsiaTheme="minorEastAsia"/>
                <w:lang w:val="en-US"/>
              </w:rPr>
              <w:fldChar w:fldCharType="begin"/>
            </w:r>
            <w:r w:rsidRPr="00AF0D68">
              <w:rPr>
                <w:rFonts w:eastAsiaTheme="minorEastAsia"/>
                <w:lang w:val="en-US"/>
              </w:rPr>
              <w:instrText xml:space="preserve"> ADDIN ZOTERO_ITEM CSL_CITATION {"citationID":"6OFSFmya","properties":{"formattedCitation":"(Coppedge et al. 2021)","plainCitation":"(Coppedge et al. 2021)","noteIndex":0},"citationItems":[{"id":125,"uris":["http://zotero.org/users/9380878/items/YVCBENDR"],"itemData":{"id":125,"type":"article-journal","title":"V-Dem Dataset v11. 1","author":[{"family":"Coppedge","given":"Michael"},{"family":"Gerring","given":"John"},{"family":"Knutsen","given":"Carl Henrik"},{"family":"Lindberg","given":"Staffan I."},{"family":"Teorell","given":"Jan"},{"family":"Alizada","given":"Nazifa"},{"family":"Altman","given":"David"},{"family":"Bernhard","given":"Michael"},{"family":"Cornell","given":"Agnes"},{"family":"Fish","given":"M. Steven"}],"issued":{"date-parts":[["2021"]]}}}],"schema":"https://github.com/citation-style-language/schema/raw/master/csl-citation.json"}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(Coppedge et al. 2021)</w:t>
            </w:r>
            <w:r w:rsidRPr="00AF0D68">
              <w:rPr>
                <w:rFonts w:eastAsiaTheme="minorEastAsia"/>
                <w:lang w:val="en-US"/>
              </w:rPr>
              <w:fldChar w:fldCharType="end"/>
            </w:r>
          </w:p>
        </w:tc>
        <w:tc>
          <w:tcPr>
            <w:tcW w:w="2115" w:type="dxa"/>
            <w:tcBorders>
              <w:top w:val="nil"/>
              <w:left w:val="nil"/>
              <w:bottom w:val="nil"/>
              <w:right w:val="nil"/>
            </w:tcBorders>
          </w:tcPr>
          <w:p w14:paraId="0B14BCC5" w14:textId="78D97C1F" w:rsidR="002E2956" w:rsidRPr="00AF0D68" w:rsidRDefault="001674BC"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3CBE6020" w14:textId="77777777" w:rsidTr="001674BC">
        <w:tc>
          <w:tcPr>
            <w:tcW w:w="3686" w:type="dxa"/>
            <w:tcBorders>
              <w:top w:val="nil"/>
              <w:left w:val="nil"/>
              <w:bottom w:val="nil"/>
              <w:right w:val="nil"/>
            </w:tcBorders>
          </w:tcPr>
          <w:p w14:paraId="3248B66C" w14:textId="6A236A8D" w:rsidR="00EB72B6" w:rsidRPr="00AF0D68" w:rsidRDefault="00EB72B6" w:rsidP="00AF0D68">
            <w:pPr>
              <w:spacing w:before="240" w:line="240" w:lineRule="auto"/>
            </w:pPr>
            <w:proofErr w:type="spellStart"/>
            <w:r w:rsidRPr="00AF0D68">
              <w:t>Mean</w:t>
            </w:r>
            <w:proofErr w:type="spellEnd"/>
            <w:r w:rsidRPr="00AF0D68">
              <w:t xml:space="preserve"> </w:t>
            </w:r>
            <w:proofErr w:type="spellStart"/>
            <w:r w:rsidRPr="00AF0D68">
              <w:t>years</w:t>
            </w:r>
            <w:proofErr w:type="spellEnd"/>
            <w:r w:rsidRPr="00AF0D68">
              <w:t xml:space="preserve"> </w:t>
            </w:r>
            <w:proofErr w:type="spellStart"/>
            <w:r w:rsidRPr="00AF0D68">
              <w:t>of</w:t>
            </w:r>
            <w:proofErr w:type="spellEnd"/>
            <w:r w:rsidRPr="00AF0D68">
              <w:t xml:space="preserve"> </w:t>
            </w:r>
            <w:proofErr w:type="spellStart"/>
            <w:r w:rsidRPr="00AF0D68">
              <w:t>schooling</w:t>
            </w:r>
            <w:proofErr w:type="spellEnd"/>
          </w:p>
        </w:tc>
        <w:tc>
          <w:tcPr>
            <w:tcW w:w="3544" w:type="dxa"/>
            <w:tcBorders>
              <w:top w:val="nil"/>
              <w:left w:val="nil"/>
              <w:bottom w:val="nil"/>
              <w:right w:val="nil"/>
            </w:tcBorders>
          </w:tcPr>
          <w:p w14:paraId="2A8B0F8C" w14:textId="60A01557" w:rsidR="00EB72B6" w:rsidRPr="00642C98" w:rsidRDefault="00642C98" w:rsidP="00AF0D68">
            <w:pPr>
              <w:spacing w:before="240" w:line="240" w:lineRule="auto"/>
              <w:rPr>
                <w:rFonts w:eastAsiaTheme="minorEastAsia"/>
                <w:lang w:val="en-US"/>
              </w:rPr>
            </w:pPr>
            <w:r>
              <w:rPr>
                <w:rFonts w:eastAsiaTheme="minorEastAsia"/>
                <w:lang w:val="en-US"/>
              </w:rPr>
              <w:t xml:space="preserve">United Nations Development Program </w:t>
            </w:r>
            <w:r>
              <w:rPr>
                <w:rFonts w:eastAsiaTheme="minorEastAsia"/>
                <w:lang w:val="en-US"/>
              </w:rPr>
              <w:fldChar w:fldCharType="begin"/>
            </w:r>
            <w:r>
              <w:rPr>
                <w:rFonts w:eastAsiaTheme="minorEastAsia"/>
                <w:lang w:val="en-US"/>
              </w:rPr>
              <w:instrText xml:space="preserve"> ADDIN ZOTERO_ITEM CSL_CITATION {"citationID":"xnJ2ITkT","properties":{"formattedCitation":"(UNDP 2022)","plainCitation":"(UNDP 2022)","noteIndex":0},"citationItems":[{"id":810,"uris":["http://zotero.org/users/9380878/items/9G4282WY"],"itemData":{"id":810,"type":"webpage","container-title":"UNDP","title":"UNDP: Human Development Reports","URL":"http://hdr.undp.org/en/indicators/103006","author":[{"family":"UNDP","given":""}],"accessed":{"date-parts":[["2021",8,5]]},"issued":{"date-parts":[["2022"]]}}}],"schema":"https://github.com/citation-style-language/schema/raw/master/csl-citation.json"} </w:instrText>
            </w:r>
            <w:r>
              <w:rPr>
                <w:rFonts w:eastAsiaTheme="minorEastAsia"/>
                <w:lang w:val="en-US"/>
              </w:rPr>
              <w:fldChar w:fldCharType="separate"/>
            </w:r>
            <w:r>
              <w:rPr>
                <w:rFonts w:eastAsiaTheme="minorEastAsia"/>
                <w:noProof/>
                <w:lang w:val="en-US"/>
              </w:rPr>
              <w:t>(UNDP 2022)</w:t>
            </w:r>
            <w:r>
              <w:rPr>
                <w:rFonts w:eastAsiaTheme="minorEastAsia"/>
                <w:lang w:val="en-US"/>
              </w:rPr>
              <w:fldChar w:fldCharType="end"/>
            </w:r>
          </w:p>
        </w:tc>
        <w:tc>
          <w:tcPr>
            <w:tcW w:w="2115" w:type="dxa"/>
            <w:tcBorders>
              <w:top w:val="nil"/>
              <w:left w:val="nil"/>
              <w:bottom w:val="nil"/>
              <w:right w:val="nil"/>
            </w:tcBorders>
          </w:tcPr>
          <w:p w14:paraId="33E03E2F" w14:textId="129600A6"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5C97788C" w14:textId="77777777" w:rsidTr="001674BC">
        <w:tc>
          <w:tcPr>
            <w:tcW w:w="3686" w:type="dxa"/>
            <w:tcBorders>
              <w:top w:val="nil"/>
              <w:left w:val="nil"/>
              <w:bottom w:val="nil"/>
              <w:right w:val="nil"/>
            </w:tcBorders>
          </w:tcPr>
          <w:p w14:paraId="6E7A774D" w14:textId="0BAB689F" w:rsidR="00EB72B6" w:rsidRPr="00AF0D68" w:rsidRDefault="00EB72B6" w:rsidP="00AF0D68">
            <w:pPr>
              <w:spacing w:before="240" w:line="240" w:lineRule="auto"/>
            </w:pPr>
            <w:r w:rsidRPr="00AF0D68">
              <w:t>Oil pruduction pc (kWh)</w:t>
            </w:r>
          </w:p>
        </w:tc>
        <w:tc>
          <w:tcPr>
            <w:tcW w:w="3544" w:type="dxa"/>
            <w:tcBorders>
              <w:top w:val="nil"/>
              <w:left w:val="nil"/>
              <w:bottom w:val="nil"/>
              <w:right w:val="nil"/>
            </w:tcBorders>
          </w:tcPr>
          <w:p w14:paraId="6B3FB058" w14:textId="0823C390" w:rsidR="00EB72B6" w:rsidRPr="00AF0D68" w:rsidRDefault="00EB72B6" w:rsidP="00AF0D68">
            <w:pPr>
              <w:spacing w:before="240" w:line="240" w:lineRule="auto"/>
              <w:rPr>
                <w:rFonts w:eastAsiaTheme="minorEastAsia"/>
                <w:lang w:val="en-US"/>
              </w:rPr>
            </w:pPr>
            <w:r w:rsidRPr="00AF0D68">
              <w:rPr>
                <w:color w:val="000000" w:themeColor="text1"/>
                <w:lang w:val="en-US"/>
              </w:rPr>
              <w:t xml:space="preserve">Our World in Data project </w:t>
            </w:r>
            <w:r w:rsidRPr="00AF0D68">
              <w:rPr>
                <w:color w:val="000000" w:themeColor="text1"/>
                <w:lang w:val="en-US"/>
              </w:rPr>
              <w:fldChar w:fldCharType="begin"/>
            </w:r>
            <w:r w:rsidRPr="00AF0D68">
              <w:rPr>
                <w:color w:val="000000" w:themeColor="text1"/>
                <w:lang w:val="en-US"/>
              </w:rPr>
              <w:instrText xml:space="preserve"> ADDIN ZOTERO_ITEM CSL_CITATION {"citationID":"XKss2OpB","properties":{"formattedCitation":"(2024)","plainCitation":"(2024)","noteIndex":0},"citationItems":[{"id":1927,"uris":["http://zotero.org/users/9380878/items/8JER34K8"],"itemData":{"id":1927,"type":"dataset","title":"Oil production per capita","URL":"https://ourworldindata.org/grapher/oil-prod-per-capita?time=1901..latest#sources-and-processing","author":[{"family":"Our World in Data","given":""}],"issued":{"date-parts":[["2024"]]}},"label":"page","suppress-author":true}],"schema":"https://github.com/citation-style-language/schema/raw/master/csl-citation.json"} </w:instrText>
            </w:r>
            <w:r w:rsidRPr="00AF0D68">
              <w:rPr>
                <w:color w:val="000000" w:themeColor="text1"/>
                <w:lang w:val="en-US"/>
              </w:rPr>
              <w:fldChar w:fldCharType="separate"/>
            </w:r>
            <w:r w:rsidRPr="00AF0D68">
              <w:rPr>
                <w:noProof/>
                <w:color w:val="000000" w:themeColor="text1"/>
                <w:lang w:val="en-US"/>
              </w:rPr>
              <w:t>(2024)</w:t>
            </w:r>
            <w:r w:rsidRPr="00AF0D68">
              <w:rPr>
                <w:color w:val="000000" w:themeColor="text1"/>
                <w:lang w:val="en-US"/>
              </w:rPr>
              <w:fldChar w:fldCharType="end"/>
            </w:r>
          </w:p>
        </w:tc>
        <w:tc>
          <w:tcPr>
            <w:tcW w:w="2115" w:type="dxa"/>
            <w:tcBorders>
              <w:top w:val="nil"/>
              <w:left w:val="nil"/>
              <w:bottom w:val="nil"/>
              <w:right w:val="nil"/>
            </w:tcBorders>
          </w:tcPr>
          <w:p w14:paraId="055D050D" w14:textId="4A7BA493"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682148F9" w14:textId="77777777" w:rsidTr="001674BC">
        <w:tc>
          <w:tcPr>
            <w:tcW w:w="3686" w:type="dxa"/>
            <w:tcBorders>
              <w:top w:val="nil"/>
              <w:left w:val="nil"/>
              <w:bottom w:val="nil"/>
              <w:right w:val="nil"/>
            </w:tcBorders>
          </w:tcPr>
          <w:p w14:paraId="39F86EDF" w14:textId="5486ADB9" w:rsidR="00EB72B6" w:rsidRPr="00AF0D68" w:rsidRDefault="00EB72B6" w:rsidP="00AF0D68">
            <w:pPr>
              <w:spacing w:before="240" w:line="240" w:lineRule="auto"/>
              <w:rPr>
                <w:lang w:val="en-US"/>
              </w:rPr>
            </w:pPr>
            <w:r w:rsidRPr="00AF0D68">
              <w:rPr>
                <w:lang w:val="en-US"/>
              </w:rPr>
              <w:t>Nonviolent revolutions in the same region (NAVCO 1.3 or Beissinger's + Goldstone et al. data)</w:t>
            </w:r>
          </w:p>
        </w:tc>
        <w:tc>
          <w:tcPr>
            <w:tcW w:w="3544" w:type="dxa"/>
            <w:tcBorders>
              <w:top w:val="nil"/>
              <w:left w:val="nil"/>
              <w:bottom w:val="nil"/>
              <w:right w:val="nil"/>
            </w:tcBorders>
          </w:tcPr>
          <w:p w14:paraId="0AC23CF4" w14:textId="313411B6" w:rsidR="00EB72B6" w:rsidRPr="00AF0D68" w:rsidRDefault="00EB72B6" w:rsidP="00AF0D68">
            <w:pPr>
              <w:spacing w:before="240" w:line="240" w:lineRule="auto"/>
              <w:rPr>
                <w:rFonts w:eastAsiaTheme="minorEastAsia"/>
                <w:lang w:val="en-US"/>
              </w:rPr>
            </w:pPr>
            <w:r w:rsidRPr="00AF0D68">
              <w:rPr>
                <w:rFonts w:eastAsiaTheme="minorEastAsia"/>
                <w:lang w:val="en-US"/>
              </w:rPr>
              <w:t>Calculated from dependent variable</w:t>
            </w:r>
          </w:p>
        </w:tc>
        <w:tc>
          <w:tcPr>
            <w:tcW w:w="2115" w:type="dxa"/>
            <w:tcBorders>
              <w:top w:val="nil"/>
              <w:left w:val="nil"/>
              <w:bottom w:val="nil"/>
              <w:right w:val="nil"/>
            </w:tcBorders>
          </w:tcPr>
          <w:p w14:paraId="58A90B3F" w14:textId="04658A3A"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4A22EBDC" w14:textId="77777777" w:rsidTr="001674BC">
        <w:tc>
          <w:tcPr>
            <w:tcW w:w="3686" w:type="dxa"/>
            <w:tcBorders>
              <w:top w:val="nil"/>
              <w:left w:val="nil"/>
              <w:bottom w:val="nil"/>
              <w:right w:val="nil"/>
            </w:tcBorders>
          </w:tcPr>
          <w:p w14:paraId="5FF97789" w14:textId="6C2BB179" w:rsidR="00EB72B6" w:rsidRPr="00AF0D68" w:rsidRDefault="00EB72B6" w:rsidP="00AF0D68">
            <w:pPr>
              <w:spacing w:before="240" w:line="240" w:lineRule="auto"/>
              <w:rPr>
                <w:lang w:val="en-US"/>
              </w:rPr>
            </w:pPr>
            <w:r w:rsidRPr="00AF0D68">
              <w:rPr>
                <w:lang w:val="en-US"/>
              </w:rPr>
              <w:t>Nonviolent revolutions in the same region, lag (NAVCO 1.3 or Beissinger's + Goldstone et al. data)</w:t>
            </w:r>
          </w:p>
        </w:tc>
        <w:tc>
          <w:tcPr>
            <w:tcW w:w="3544" w:type="dxa"/>
            <w:tcBorders>
              <w:top w:val="nil"/>
              <w:left w:val="nil"/>
              <w:bottom w:val="nil"/>
              <w:right w:val="nil"/>
            </w:tcBorders>
          </w:tcPr>
          <w:p w14:paraId="006B9F03" w14:textId="0FFB27D7" w:rsidR="00EB72B6" w:rsidRPr="00AF0D68" w:rsidRDefault="00EB72B6" w:rsidP="00AF0D68">
            <w:pPr>
              <w:spacing w:before="240" w:line="240" w:lineRule="auto"/>
              <w:rPr>
                <w:rFonts w:eastAsiaTheme="minorEastAsia"/>
                <w:lang w:val="en-US"/>
              </w:rPr>
            </w:pPr>
            <w:r w:rsidRPr="00AF0D68">
              <w:rPr>
                <w:rFonts w:eastAsiaTheme="minorEastAsia"/>
                <w:lang w:val="en-US"/>
              </w:rPr>
              <w:t>Calculated from dependent variable</w:t>
            </w:r>
          </w:p>
        </w:tc>
        <w:tc>
          <w:tcPr>
            <w:tcW w:w="2115" w:type="dxa"/>
            <w:tcBorders>
              <w:top w:val="nil"/>
              <w:left w:val="nil"/>
              <w:bottom w:val="nil"/>
              <w:right w:val="nil"/>
            </w:tcBorders>
          </w:tcPr>
          <w:p w14:paraId="3BBFDA35" w14:textId="467478FC"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2DD40772" w14:textId="77777777" w:rsidTr="001674BC">
        <w:tc>
          <w:tcPr>
            <w:tcW w:w="3686" w:type="dxa"/>
            <w:tcBorders>
              <w:top w:val="nil"/>
              <w:left w:val="nil"/>
              <w:bottom w:val="nil"/>
              <w:right w:val="nil"/>
            </w:tcBorders>
          </w:tcPr>
          <w:p w14:paraId="38BF3C9A" w14:textId="16581E4B" w:rsidR="00EB72B6" w:rsidRPr="00AF0D68" w:rsidRDefault="00EB72B6" w:rsidP="00AF0D68">
            <w:pPr>
              <w:spacing w:before="240" w:line="240" w:lineRule="auto"/>
              <w:rPr>
                <w:lang w:val="en-US"/>
              </w:rPr>
            </w:pPr>
            <w:r w:rsidRPr="00AF0D68">
              <w:rPr>
                <w:lang w:val="en-US"/>
              </w:rPr>
              <w:t>Number of revolutions in the country's history (since 1950) at year t (NAVCO 1.3 or Beissinger's + Goldstone et al. data)</w:t>
            </w:r>
          </w:p>
        </w:tc>
        <w:tc>
          <w:tcPr>
            <w:tcW w:w="3544" w:type="dxa"/>
            <w:tcBorders>
              <w:top w:val="nil"/>
              <w:left w:val="nil"/>
              <w:bottom w:val="nil"/>
              <w:right w:val="nil"/>
            </w:tcBorders>
          </w:tcPr>
          <w:p w14:paraId="1B84A615" w14:textId="67065B5C" w:rsidR="00EB72B6" w:rsidRPr="00AF0D68" w:rsidRDefault="00EB72B6" w:rsidP="00AF0D68">
            <w:pPr>
              <w:spacing w:before="240" w:line="240" w:lineRule="auto"/>
              <w:rPr>
                <w:rFonts w:eastAsiaTheme="minorEastAsia"/>
                <w:lang w:val="en-US"/>
              </w:rPr>
            </w:pPr>
            <w:r w:rsidRPr="00AF0D68">
              <w:rPr>
                <w:rFonts w:eastAsiaTheme="minorEastAsia"/>
                <w:lang w:val="en-US"/>
              </w:rPr>
              <w:t xml:space="preserve">Calculated from dependent variable </w:t>
            </w:r>
          </w:p>
        </w:tc>
        <w:tc>
          <w:tcPr>
            <w:tcW w:w="2115" w:type="dxa"/>
            <w:tcBorders>
              <w:top w:val="nil"/>
              <w:left w:val="nil"/>
              <w:bottom w:val="nil"/>
              <w:right w:val="nil"/>
            </w:tcBorders>
          </w:tcPr>
          <w:p w14:paraId="4AE427B4" w14:textId="7D5231F0"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685921AF" w14:textId="77777777" w:rsidTr="001674BC">
        <w:tc>
          <w:tcPr>
            <w:tcW w:w="3686" w:type="dxa"/>
            <w:tcBorders>
              <w:top w:val="nil"/>
              <w:left w:val="nil"/>
              <w:bottom w:val="nil"/>
              <w:right w:val="nil"/>
            </w:tcBorders>
          </w:tcPr>
          <w:p w14:paraId="692F7BF7" w14:textId="543D17F6" w:rsidR="00EB72B6" w:rsidRPr="00AF0D68" w:rsidRDefault="00EB72B6" w:rsidP="00AF0D68">
            <w:pPr>
              <w:spacing w:before="240" w:line="240" w:lineRule="auto"/>
              <w:rPr>
                <w:lang w:val="en-US"/>
              </w:rPr>
            </w:pPr>
            <w:r w:rsidRPr="00AF0D68">
              <w:rPr>
                <w:lang w:val="en-US"/>
              </w:rPr>
              <w:t>Discriminated population (% of total population)</w:t>
            </w:r>
          </w:p>
        </w:tc>
        <w:tc>
          <w:tcPr>
            <w:tcW w:w="3544" w:type="dxa"/>
            <w:tcBorders>
              <w:top w:val="nil"/>
              <w:left w:val="nil"/>
              <w:bottom w:val="nil"/>
              <w:right w:val="nil"/>
            </w:tcBorders>
          </w:tcPr>
          <w:p w14:paraId="5DB398C8" w14:textId="0CBE8897" w:rsidR="00EB72B6" w:rsidRPr="00AF0D68" w:rsidRDefault="00EB72B6" w:rsidP="00AF0D68">
            <w:pPr>
              <w:spacing w:before="240" w:line="240" w:lineRule="auto"/>
              <w:rPr>
                <w:rFonts w:eastAsiaTheme="minorEastAsia"/>
                <w:lang w:val="en-US"/>
              </w:rPr>
            </w:pPr>
            <w:r w:rsidRPr="00AF0D68">
              <w:rPr>
                <w:rFonts w:eastAsiaTheme="minorEastAsia"/>
                <w:lang w:val="en-US"/>
              </w:rPr>
              <w:t xml:space="preserve">Ethnic Power Relations Dataset </w:t>
            </w:r>
            <w:r w:rsidRPr="00AF0D68">
              <w:rPr>
                <w:rFonts w:eastAsiaTheme="minorEastAsia"/>
                <w:lang w:val="en-US"/>
              </w:rPr>
              <w:fldChar w:fldCharType="begin"/>
            </w:r>
            <w:r w:rsidRPr="00AF0D68">
              <w:rPr>
                <w:rFonts w:eastAsiaTheme="minorEastAsia"/>
                <w:lang w:val="en-US"/>
              </w:rPr>
              <w:instrText xml:space="preserve"> ADDIN ZOTERO_ITEM CSL_CITATION {"citationID":"4qlntp0T","properties":{"formattedCitation":"(Vogt et al. 2015)","plainCitation":"(Vogt et al. 2015)","noteIndex":0},"citationItems":[{"id":124,"uris":["http://zotero.org/users/9380878/items/APEBX2B5"],"itemData":{"id":124,"type":"article-journal","container-title":"Journal of Conflict Resolution","issue":"7","note":"ISBN: 0022-0027\npublisher: SAGE Publications Sage CA: Los Angeles, CA","page":"1327-1342","title":"Integrating data on ethnicity, geography, and conflict: The ethnic power relations data set family","volume":"59","author":[{"family":"Vogt","given":"Manuel"},{"family":"Bormann","given":"Nils-Christian"},{"family":"Rüegger","given":"Seraina"},{"family":"Cederman","given":"Lars-Erik"},{"family":"Hunziker","given":"Philipp"},{"family":"Girardin","given":"Luc"}],"issued":{"date-parts":[["2015"]]}}}],"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(Vogt et al. 2015)</w:t>
            </w:r>
            <w:r w:rsidRPr="00AF0D68">
              <w:rPr>
                <w:rFonts w:eastAsiaTheme="minorEastAsia"/>
                <w:lang w:val="en-US"/>
              </w:rPr>
              <w:fldChar w:fldCharType="end"/>
            </w:r>
          </w:p>
        </w:tc>
        <w:tc>
          <w:tcPr>
            <w:tcW w:w="2115" w:type="dxa"/>
            <w:tcBorders>
              <w:top w:val="nil"/>
              <w:left w:val="nil"/>
              <w:bottom w:val="nil"/>
              <w:right w:val="nil"/>
            </w:tcBorders>
          </w:tcPr>
          <w:p w14:paraId="4DF919A1" w14:textId="518176CE"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71D81440" w14:textId="77777777" w:rsidTr="001674BC">
        <w:tc>
          <w:tcPr>
            <w:tcW w:w="3686" w:type="dxa"/>
            <w:tcBorders>
              <w:top w:val="nil"/>
              <w:left w:val="nil"/>
              <w:bottom w:val="nil"/>
              <w:right w:val="nil"/>
            </w:tcBorders>
          </w:tcPr>
          <w:p w14:paraId="3A2E7F33" w14:textId="27965C71" w:rsidR="00EB72B6" w:rsidRPr="00AF0D68" w:rsidRDefault="00EB72B6" w:rsidP="00AF0D68">
            <w:pPr>
              <w:spacing w:before="240" w:line="240" w:lineRule="auto"/>
              <w:rPr>
                <w:lang w:val="en-US"/>
              </w:rPr>
            </w:pPr>
            <w:r w:rsidRPr="00AF0D68">
              <w:rPr>
                <w:lang w:val="en-US"/>
              </w:rPr>
              <w:t xml:space="preserve">Share of people in age 15-24 in adult (15+) population </w:t>
            </w:r>
          </w:p>
        </w:tc>
        <w:tc>
          <w:tcPr>
            <w:tcW w:w="3544" w:type="dxa"/>
            <w:tcBorders>
              <w:top w:val="nil"/>
              <w:left w:val="nil"/>
              <w:bottom w:val="nil"/>
              <w:right w:val="nil"/>
            </w:tcBorders>
          </w:tcPr>
          <w:p w14:paraId="24D298C0" w14:textId="0BF2031C" w:rsidR="00EB72B6" w:rsidRPr="00AF0D68" w:rsidRDefault="00EB72B6" w:rsidP="00AF0D68">
            <w:pPr>
              <w:spacing w:before="240" w:line="240" w:lineRule="auto"/>
              <w:rPr>
                <w:rFonts w:eastAsiaTheme="minorEastAsia"/>
                <w:lang w:val="en-US"/>
              </w:rPr>
            </w:pPr>
            <w:r w:rsidRPr="00AF0D68">
              <w:rPr>
                <w:rFonts w:eastAsiaTheme="minorEastAsia"/>
                <w:lang w:val="en-US"/>
              </w:rPr>
              <w:t xml:space="preserve">Calculated based on World Population Prospects, UN </w:t>
            </w:r>
            <w:r w:rsidRPr="00AF0D68">
              <w:rPr>
                <w:rFonts w:eastAsiaTheme="minorEastAsia"/>
                <w:lang w:val="en-US"/>
              </w:rPr>
              <w:fldChar w:fldCharType="begin"/>
            </w:r>
            <w:r w:rsidRPr="00AF0D68">
              <w:rPr>
                <w:rFonts w:eastAsiaTheme="minorEastAsia"/>
                <w:lang w:val="en-US"/>
              </w:rPr>
              <w:instrText xml:space="preserve"> ADDIN ZOTERO_ITEM CSL_CITATION {"citationID":"xtl8AUdI","properties":{"formattedCitation":"(2022)","plainCitation":"(2022)","noteIndex":0},"citationItems":[{"id":714,"uris":["http://zotero.org/users/9380878/items/SBLLLD4Z"],"itemData":{"id":714,"type":"dataset","title":"World Population Prospects","title-short":"nited Nations Departament of Economis and social Affairs, Population Division","URL":"https://population.un.org/wpp","author":[{"family":"United Nations","given":""}],"issued":{"date-parts":[["2022"]]}},"label":"page","suppress-author":true}],"schema":"https://github.com/citation-style-language/schema/raw/master/csl-citation.json"}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(2022)</w:t>
            </w:r>
            <w:r w:rsidRPr="00AF0D68">
              <w:rPr>
                <w:rFonts w:eastAsiaTheme="minorEastAsia"/>
                <w:lang w:val="en-US"/>
              </w:rPr>
              <w:fldChar w:fldCharType="end"/>
            </w:r>
            <w:r w:rsidRPr="00AF0D68">
              <w:rPr>
                <w:rFonts w:eastAsiaTheme="minorEastAsia"/>
                <w:lang w:val="en-US"/>
              </w:rPr>
              <w:t xml:space="preserve"> </w:t>
            </w:r>
          </w:p>
        </w:tc>
        <w:tc>
          <w:tcPr>
            <w:tcW w:w="2115" w:type="dxa"/>
            <w:tcBorders>
              <w:top w:val="nil"/>
              <w:left w:val="nil"/>
              <w:bottom w:val="nil"/>
              <w:right w:val="nil"/>
            </w:tcBorders>
          </w:tcPr>
          <w:p w14:paraId="3E3AD3B1" w14:textId="5552AE96"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494B428E" w14:textId="77777777" w:rsidTr="001674BC">
        <w:tc>
          <w:tcPr>
            <w:tcW w:w="3686" w:type="dxa"/>
            <w:tcBorders>
              <w:top w:val="nil"/>
              <w:left w:val="nil"/>
              <w:bottom w:val="single" w:sz="4" w:space="0" w:color="auto"/>
              <w:right w:val="nil"/>
            </w:tcBorders>
          </w:tcPr>
          <w:p w14:paraId="098DCB1F" w14:textId="4D43DCA0" w:rsidR="00EB72B6" w:rsidRPr="00AF0D68" w:rsidRDefault="00EB72B6" w:rsidP="00AF0D68">
            <w:pPr>
              <w:spacing w:before="240" w:line="240" w:lineRule="auto"/>
              <w:rPr>
                <w:lang w:val="en-US"/>
              </w:rPr>
            </w:pPr>
            <w:r w:rsidRPr="00AF0D68">
              <w:rPr>
                <w:lang w:val="en-US"/>
              </w:rPr>
              <w:t>Equal distribution of resources index</w:t>
            </w:r>
          </w:p>
        </w:tc>
        <w:tc>
          <w:tcPr>
            <w:tcW w:w="3544" w:type="dxa"/>
            <w:tcBorders>
              <w:top w:val="nil"/>
              <w:left w:val="nil"/>
              <w:bottom w:val="single" w:sz="4" w:space="0" w:color="auto"/>
              <w:right w:val="nil"/>
            </w:tcBorders>
          </w:tcPr>
          <w:p w14:paraId="1FB61F15" w14:textId="31F2F403" w:rsidR="00EB72B6" w:rsidRPr="00AF0D68" w:rsidRDefault="00EB72B6" w:rsidP="00AF0D68">
            <w:pPr>
              <w:spacing w:before="240" w:line="240" w:lineRule="auto"/>
              <w:rPr>
                <w:rFonts w:eastAsiaTheme="minorEastAsia"/>
                <w:lang w:val="en-US"/>
              </w:rPr>
            </w:pPr>
            <w:r w:rsidRPr="00AF0D68">
              <w:rPr>
                <w:rFonts w:eastAsiaTheme="minorEastAsia"/>
                <w:lang w:val="en-US"/>
              </w:rPr>
              <w:t xml:space="preserve">V-Dem </w:t>
            </w:r>
            <w:r w:rsidRPr="00AF0D68">
              <w:rPr>
                <w:rFonts w:eastAsiaTheme="minorEastAsia"/>
                <w:lang w:val="en-US"/>
              </w:rPr>
              <w:fldChar w:fldCharType="begin"/>
            </w:r>
            <w:r w:rsidRPr="00AF0D68">
              <w:rPr>
                <w:rFonts w:eastAsiaTheme="minorEastAsia"/>
                <w:lang w:val="en-US"/>
              </w:rPr>
              <w:instrText xml:space="preserve"> ADDIN ZOTERO_ITEM CSL_CITATION {"citationID":"DkC9KOj5","properties":{"formattedCitation":"(Coppedge et al. 2021)","plainCitation":"(Coppedge et al. 2021)","noteIndex":0},"citationItems":[{"id":125,"uris":["http://zotero.org/users/9380878/items/YVCBENDR"],"itemData":{"id":125,"type":"article-journal","title":"V-Dem Dataset v11. 1","author":[{"family":"Coppedge","given":"Michael"},{"family":"Gerring","given":"John"},{"family":"Knutsen","given":"Carl Henrik"},{"family":"Lindberg","given":"Staffan I."},{"family":"Teorell","given":"Jan"},{"family":"Alizada","given":"Nazifa"},{"family":"Altman","given":"David"},{"family":"Bernhard","given":"Michael"},{"family":"Cornell","given":"Agnes"},{"family":"Fish","given":"M. Steven"}],"issued":{"date-parts":[["2021"]]}}}],"schema":"https://github.com/citation-style-language/schema/raw/master/csl-citation.json"}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(Coppedge et al. 2021)</w:t>
            </w:r>
            <w:r w:rsidRPr="00AF0D68">
              <w:rPr>
                <w:rFonts w:eastAsiaTheme="minorEastAsia"/>
                <w:lang w:val="en-US"/>
              </w:rPr>
              <w:fldChar w:fldCharType="end"/>
            </w:r>
          </w:p>
        </w:tc>
        <w:tc>
          <w:tcPr>
            <w:tcW w:w="2115" w:type="dxa"/>
            <w:tcBorders>
              <w:top w:val="nil"/>
              <w:left w:val="nil"/>
              <w:bottom w:val="single" w:sz="4" w:space="0" w:color="auto"/>
              <w:right w:val="nil"/>
            </w:tcBorders>
          </w:tcPr>
          <w:p w14:paraId="28D332A9" w14:textId="600087A2"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bl>
    <w:p w14:paraId="22E15DC6" w14:textId="77777777" w:rsidR="00F76348" w:rsidRPr="005F5858" w:rsidRDefault="00F76348" w:rsidP="00AF0D68">
      <w:pPr>
        <w:rPr>
          <w:rFonts w:eastAsiaTheme="minorEastAsia"/>
          <w:lang w:val="en-US"/>
        </w:rPr>
      </w:pPr>
    </w:p>
    <w:p w14:paraId="2C1D0DC3" w14:textId="4650C4DF" w:rsidR="00C745C8" w:rsidRDefault="00C745C8" w:rsidP="00AF0D68">
      <w:pPr>
        <w:rPr>
          <w:rFonts w:eastAsiaTheme="minorEastAsia"/>
          <w:i/>
          <w:iCs/>
          <w:lang w:val="en-US"/>
        </w:rPr>
      </w:pPr>
      <w:r w:rsidRPr="00C745C8">
        <w:rPr>
          <w:rFonts w:eastAsiaTheme="minorEastAsia"/>
          <w:i/>
          <w:iCs/>
          <w:lang w:val="en-US"/>
        </w:rPr>
        <w:lastRenderedPageBreak/>
        <w:t>Results</w:t>
      </w:r>
    </w:p>
    <w:p w14:paraId="21372669" w14:textId="03F60173" w:rsidR="00AF0D68" w:rsidRDefault="00866155" w:rsidP="00AF0D68">
      <w:pPr>
        <w:rPr>
          <w:rFonts w:eastAsiaTheme="minorEastAsia"/>
          <w:lang w:val="en-US"/>
        </w:rPr>
      </w:pPr>
      <w:r w:rsidRPr="00866155">
        <w:rPr>
          <w:rFonts w:eastAsiaTheme="minorEastAsia"/>
          <w:lang w:val="en-US"/>
        </w:rPr>
        <w:t>The graph below depicts the distributions of the z-statistic from all models where the dependent variable is the unarmed revolution from NAVCO 1.3. It can be observed that both linear and quadratic terms of GDP per capita are highly resilient to different combinations of variables. The coefficients are statistically significant, with an overall two-tailed p-value for both terms of less than 0.001. The z-statistic for the linear component is 5, while that for the quadratic component is -4.9. Conversely, the GDP per capita term</w:t>
      </w:r>
      <w:r>
        <w:rPr>
          <w:rFonts w:eastAsiaTheme="minorEastAsia"/>
          <w:lang w:val="en-US"/>
        </w:rPr>
        <w:t xml:space="preserve"> as only one term</w:t>
      </w:r>
      <w:r w:rsidRPr="00866155">
        <w:rPr>
          <w:rFonts w:eastAsiaTheme="minorEastAsia"/>
          <w:lang w:val="en-US"/>
        </w:rPr>
        <w:t>, which models a linear link, is insignificant in most models. Its overall p-value is 0.44 (z-statistic is 0.77), and there is a right tail that crosses the critical area.</w:t>
      </w:r>
    </w:p>
    <w:p w14:paraId="4AC0CBD9" w14:textId="5996F0C5" w:rsidR="00C745C8" w:rsidRDefault="002B6432" w:rsidP="00AF0D68">
      <w:pPr>
        <w:rPr>
          <w:rFonts w:eastAsiaTheme="minorEastAsia"/>
          <w:lang w:val="en-US"/>
        </w:rPr>
      </w:pPr>
      <w:r>
        <w:rPr>
          <w:rFonts w:eastAsiaTheme="minorEastAsia"/>
          <w:noProof/>
          <w:lang w:val="en-US"/>
        </w:rPr>
        <w:drawing>
          <wp:inline distT="0" distB="0" distL="0" distR="0" wp14:anchorId="0E9F9939" wp14:editId="6FF2039D">
            <wp:extent cx="5940425" cy="2970530"/>
            <wp:effectExtent l="0" t="0" r="3175" b="1270"/>
            <wp:docPr id="18361559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5927" name="Рисунок 18361559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2970530"/>
                    </a:xfrm>
                    <a:prstGeom prst="rect">
                      <a:avLst/>
                    </a:prstGeom>
                  </pic:spPr>
                </pic:pic>
              </a:graphicData>
            </a:graphic>
          </wp:inline>
        </w:drawing>
      </w:r>
    </w:p>
    <w:p w14:paraId="68976001" w14:textId="77777777" w:rsidR="00240C91" w:rsidRDefault="00240C91" w:rsidP="00AF0D68">
      <w:pPr>
        <w:rPr>
          <w:rFonts w:eastAsiaTheme="minorEastAsia"/>
          <w:lang w:val="en-US"/>
        </w:rPr>
      </w:pPr>
    </w:p>
    <w:p w14:paraId="578C320A" w14:textId="77777777" w:rsidR="00AF0D68" w:rsidRDefault="00240C91" w:rsidP="00A07AE1">
      <w:pPr>
        <w:rPr>
          <w:lang w:val="en-US"/>
        </w:rPr>
      </w:pPr>
      <w:r>
        <w:rPr>
          <w:rFonts w:eastAsiaTheme="minorEastAsia"/>
          <w:lang w:val="en-US"/>
        </w:rPr>
        <w:t xml:space="preserve">In turn, in the graph below distributions of </w:t>
      </w:r>
      <w:r w:rsidRPr="00C745C8">
        <w:rPr>
          <w:rFonts w:eastAsiaTheme="minorEastAsia"/>
          <w:i/>
          <w:iCs/>
          <w:lang w:val="en-US"/>
        </w:rPr>
        <w:t>z-statistic</w:t>
      </w:r>
      <w:r>
        <w:rPr>
          <w:rFonts w:eastAsiaTheme="minorEastAsia"/>
          <w:lang w:val="en-US"/>
        </w:rPr>
        <w:t xml:space="preserve"> from all models where unarmed revolutions from Beissinger’s extended data is dependent variable are plotted. </w:t>
      </w:r>
      <w:r>
        <w:rPr>
          <w:lang w:val="en-US"/>
        </w:rPr>
        <w:t>It can be seen both linear and quadratic terms of GDP per capita are extremely</w:t>
      </w:r>
      <w:r w:rsidRPr="00875114">
        <w:rPr>
          <w:lang w:val="en-US"/>
        </w:rPr>
        <w:t xml:space="preserve"> resilient to different combinations of variables</w:t>
      </w:r>
      <w:r>
        <w:rPr>
          <w:lang w:val="en-US"/>
        </w:rPr>
        <w:t xml:space="preserve">: coefficients are highly significant (overall p-value for both terms are &lt;&lt;0.001 and statistic is 4.77 and -4.8 respectively for linear and quadratic components). Meanwhile, GDP per capita as one term (which models only linear link) in most models’ specification is insignificant, its overall p-value is </w:t>
      </w:r>
      <w:r w:rsidRPr="00480526">
        <w:rPr>
          <w:lang w:val="en-US"/>
        </w:rPr>
        <w:t>0.</w:t>
      </w:r>
      <w:r>
        <w:rPr>
          <w:lang w:val="en-US"/>
        </w:rPr>
        <w:t xml:space="preserve">93 (statistic is 0.09), while there is right tail that crosses critical area. </w:t>
      </w:r>
    </w:p>
    <w:p w14:paraId="1DCB3FDD" w14:textId="00F88E16" w:rsidR="00AF0D68" w:rsidRPr="00AF0D68" w:rsidRDefault="00077F1C" w:rsidP="00AF0D68">
      <w:pPr>
        <w:rPr>
          <w:rFonts w:eastAsiaTheme="minorHAnsi"/>
          <w:lang w:val="en-US"/>
        </w:rPr>
      </w:pPr>
      <w:r>
        <w:rPr>
          <w:rFonts w:eastAsiaTheme="minorHAnsi"/>
          <w:noProof/>
          <w:lang w:val="en-US"/>
        </w:rPr>
        <w:lastRenderedPageBreak/>
        <w:drawing>
          <wp:inline distT="0" distB="0" distL="0" distR="0" wp14:anchorId="5A6FA32E" wp14:editId="2501D3F2">
            <wp:extent cx="5940425" cy="2970530"/>
            <wp:effectExtent l="0" t="0" r="3175" b="1270"/>
            <wp:docPr id="1469391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91813" name="Рисунок 14693918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2970530"/>
                    </a:xfrm>
                    <a:prstGeom prst="rect">
                      <a:avLst/>
                    </a:prstGeom>
                  </pic:spPr>
                </pic:pic>
              </a:graphicData>
            </a:graphic>
          </wp:inline>
        </w:drawing>
      </w:r>
    </w:p>
    <w:p w14:paraId="25F96600" w14:textId="53E86BF4" w:rsidR="00240C91" w:rsidRDefault="00866155" w:rsidP="00AF0D68">
      <w:pPr>
        <w:rPr>
          <w:rFonts w:eastAsiaTheme="minorEastAsia"/>
          <w:lang w:val="en-US"/>
        </w:rPr>
      </w:pPr>
      <w:r>
        <w:rPr>
          <w:rFonts w:eastAsiaTheme="minorEastAsia"/>
          <w:lang w:val="en-US"/>
        </w:rPr>
        <w:t>T</w:t>
      </w:r>
      <w:r w:rsidR="00240C91">
        <w:rPr>
          <w:rFonts w:eastAsiaTheme="minorEastAsia"/>
          <w:lang w:val="en-US"/>
        </w:rPr>
        <w:t>able</w:t>
      </w:r>
      <w:r>
        <w:rPr>
          <w:rFonts w:eastAsiaTheme="minorEastAsia"/>
          <w:lang w:val="en-US"/>
        </w:rPr>
        <w:t xml:space="preserve"> 2</w:t>
      </w:r>
      <w:r w:rsidR="00240C91">
        <w:rPr>
          <w:rFonts w:eastAsiaTheme="minorEastAsia"/>
          <w:lang w:val="en-US"/>
        </w:rPr>
        <w:t xml:space="preserve"> below </w:t>
      </w:r>
      <w:r w:rsidR="00585A85">
        <w:rPr>
          <w:rFonts w:eastAsiaTheme="minorEastAsia"/>
          <w:lang w:val="en-US"/>
        </w:rPr>
        <w:t xml:space="preserve">with </w:t>
      </w:r>
      <w:r w:rsidR="00240C91">
        <w:rPr>
          <w:rFonts w:eastAsiaTheme="minorEastAsia"/>
          <w:lang w:val="en-US"/>
        </w:rPr>
        <w:t>aggregate</w:t>
      </w:r>
      <w:r w:rsidR="00AF0D68">
        <w:rPr>
          <w:rFonts w:eastAsiaTheme="minorEastAsia"/>
          <w:lang w:val="en-US"/>
        </w:rPr>
        <w:t>d</w:t>
      </w:r>
      <w:r w:rsidR="00240C91">
        <w:rPr>
          <w:rFonts w:eastAsiaTheme="minorEastAsia"/>
          <w:lang w:val="en-US"/>
        </w:rPr>
        <w:t xml:space="preserve"> result</w:t>
      </w:r>
      <w:r w:rsidR="00AF0D68">
        <w:rPr>
          <w:rFonts w:eastAsiaTheme="minorEastAsia"/>
          <w:lang w:val="en-US"/>
        </w:rPr>
        <w:t>s</w:t>
      </w:r>
      <w:r w:rsidR="00240C91">
        <w:rPr>
          <w:rFonts w:eastAsiaTheme="minorEastAsia"/>
          <w:lang w:val="en-US"/>
        </w:rPr>
        <w:t xml:space="preserve"> of EBA</w:t>
      </w:r>
      <w:r w:rsidR="00AF0D68">
        <w:rPr>
          <w:rFonts w:eastAsiaTheme="minorEastAsia"/>
          <w:lang w:val="en-US"/>
        </w:rPr>
        <w:t xml:space="preserve"> </w:t>
      </w:r>
      <w:r w:rsidR="00240C91">
        <w:rPr>
          <w:rFonts w:eastAsiaTheme="minorEastAsia"/>
          <w:lang w:val="en-US"/>
        </w:rPr>
        <w:t>show</w:t>
      </w:r>
      <w:r w:rsidR="00585A85">
        <w:rPr>
          <w:rFonts w:eastAsiaTheme="minorEastAsia"/>
          <w:lang w:val="en-US"/>
        </w:rPr>
        <w:t>s</w:t>
      </w:r>
      <w:r w:rsidR="00240C91">
        <w:rPr>
          <w:rFonts w:eastAsiaTheme="minorEastAsia"/>
          <w:lang w:val="en-US"/>
        </w:rPr>
        <w:t xml:space="preserve"> overall coefficients and variances</w:t>
      </w:r>
      <w:r w:rsidR="00585A85">
        <w:rPr>
          <w:rFonts w:eastAsiaTheme="minorEastAsia"/>
          <w:lang w:val="en-US"/>
        </w:rPr>
        <w:t xml:space="preserve"> for both dependent variables</w:t>
      </w:r>
      <w:r w:rsidR="00240C91">
        <w:rPr>
          <w:rFonts w:eastAsiaTheme="minorEastAsia"/>
          <w:lang w:val="en-US"/>
        </w:rPr>
        <w:t xml:space="preserve">. </w:t>
      </w:r>
    </w:p>
    <w:p w14:paraId="0C2E2A2A" w14:textId="77777777" w:rsidR="009C0FBE" w:rsidRPr="00AF0D68" w:rsidRDefault="009C0FBE" w:rsidP="00AF0D68">
      <w:pPr>
        <w:rPr>
          <w:rFonts w:eastAsiaTheme="minorEastAsia"/>
          <w:lang w:val="en-US"/>
        </w:rPr>
      </w:pPr>
    </w:p>
    <w:tbl>
      <w:tblPr>
        <w:tblW w:w="9355" w:type="dxa"/>
        <w:jc w:val="center"/>
        <w:tblLook w:val="04A0" w:firstRow="1" w:lastRow="0" w:firstColumn="1" w:lastColumn="0" w:noHBand="0" w:noVBand="1"/>
      </w:tblPr>
      <w:tblGrid>
        <w:gridCol w:w="3261"/>
        <w:gridCol w:w="850"/>
        <w:gridCol w:w="851"/>
        <w:gridCol w:w="992"/>
        <w:gridCol w:w="1276"/>
        <w:gridCol w:w="825"/>
        <w:gridCol w:w="1300"/>
      </w:tblGrid>
      <w:tr w:rsidR="00D4551A" w:rsidRPr="005B3817" w14:paraId="046829F6" w14:textId="77777777" w:rsidTr="002C55DB">
        <w:trPr>
          <w:trHeight w:val="300"/>
          <w:jc w:val="center"/>
        </w:trPr>
        <w:tc>
          <w:tcPr>
            <w:tcW w:w="9355" w:type="dxa"/>
            <w:gridSpan w:val="7"/>
            <w:tcBorders>
              <w:top w:val="nil"/>
              <w:left w:val="nil"/>
              <w:bottom w:val="single" w:sz="4" w:space="0" w:color="auto"/>
              <w:right w:val="nil"/>
            </w:tcBorders>
            <w:shd w:val="clear" w:color="auto" w:fill="auto"/>
            <w:noWrap/>
            <w:vAlign w:val="center"/>
          </w:tcPr>
          <w:p w14:paraId="053CB13D" w14:textId="23715582" w:rsidR="00D4551A" w:rsidRPr="00AF0D68" w:rsidRDefault="00D4551A" w:rsidP="00D4551A">
            <w:pPr>
              <w:spacing w:line="240" w:lineRule="auto"/>
              <w:rPr>
                <w:color w:val="000000"/>
                <w:lang w:val="en-US"/>
              </w:rPr>
            </w:pPr>
            <w:r w:rsidRPr="00350F21">
              <w:rPr>
                <w:rFonts w:eastAsia="Helvetica"/>
                <w:color w:val="000000"/>
                <w:lang w:val="en-US"/>
              </w:rPr>
              <w:t xml:space="preserve">Table </w:t>
            </w:r>
            <w:r w:rsidR="00866155">
              <w:rPr>
                <w:rFonts w:eastAsia="Helvetica"/>
                <w:color w:val="000000"/>
                <w:lang w:val="en-US"/>
              </w:rPr>
              <w:t>2</w:t>
            </w:r>
            <w:r w:rsidRPr="00350F21">
              <w:rPr>
                <w:rFonts w:eastAsia="Helvetica"/>
                <w:color w:val="000000"/>
                <w:lang w:val="en-US"/>
              </w:rPr>
              <w:t xml:space="preserve">. </w:t>
            </w:r>
            <w:r>
              <w:rPr>
                <w:rFonts w:eastAsia="Helvetica"/>
                <w:color w:val="000000"/>
                <w:lang w:val="en-US"/>
              </w:rPr>
              <w:t>Extreme boundary analysis aggregated results.</w:t>
            </w:r>
          </w:p>
        </w:tc>
      </w:tr>
      <w:tr w:rsidR="00D4551A" w:rsidRPr="00AF0D68" w14:paraId="2322F800" w14:textId="77777777" w:rsidTr="005406AD">
        <w:trPr>
          <w:trHeight w:val="300"/>
          <w:jc w:val="center"/>
        </w:trPr>
        <w:tc>
          <w:tcPr>
            <w:tcW w:w="3261" w:type="dxa"/>
            <w:vMerge w:val="restart"/>
            <w:tcBorders>
              <w:top w:val="single" w:sz="4" w:space="0" w:color="auto"/>
              <w:left w:val="nil"/>
              <w:right w:val="nil"/>
            </w:tcBorders>
            <w:shd w:val="clear" w:color="auto" w:fill="auto"/>
            <w:noWrap/>
            <w:vAlign w:val="bottom"/>
          </w:tcPr>
          <w:p w14:paraId="45630DF7" w14:textId="3F33A0E8" w:rsidR="00D4551A" w:rsidRPr="00AF0D68" w:rsidRDefault="00D4551A" w:rsidP="00D4551A">
            <w:pPr>
              <w:spacing w:after="240" w:line="240" w:lineRule="auto"/>
              <w:jc w:val="center"/>
              <w:rPr>
                <w:color w:val="000000"/>
                <w:lang w:val="en-US"/>
              </w:rPr>
            </w:pPr>
            <w:r w:rsidRPr="00AF0D68">
              <w:rPr>
                <w:lang w:val="en-US"/>
              </w:rPr>
              <w:t>Main independent variable</w:t>
            </w:r>
          </w:p>
        </w:tc>
        <w:tc>
          <w:tcPr>
            <w:tcW w:w="2693" w:type="dxa"/>
            <w:gridSpan w:val="3"/>
            <w:tcBorders>
              <w:top w:val="single" w:sz="4" w:space="0" w:color="auto"/>
              <w:left w:val="nil"/>
              <w:bottom w:val="single" w:sz="4" w:space="0" w:color="auto"/>
              <w:right w:val="nil"/>
            </w:tcBorders>
            <w:shd w:val="clear" w:color="auto" w:fill="auto"/>
            <w:noWrap/>
            <w:vAlign w:val="bottom"/>
          </w:tcPr>
          <w:p w14:paraId="4B8B300B" w14:textId="640EF721" w:rsidR="00D4551A" w:rsidRPr="00AF0D68" w:rsidRDefault="00D4551A" w:rsidP="00D4551A">
            <w:pPr>
              <w:spacing w:after="240" w:line="240" w:lineRule="auto"/>
              <w:jc w:val="center"/>
              <w:rPr>
                <w:color w:val="000000"/>
                <w:lang w:val="en-US"/>
              </w:rPr>
            </w:pPr>
            <w:r w:rsidRPr="00AF0D68">
              <w:rPr>
                <w:color w:val="000000"/>
                <w:lang w:val="en-US"/>
              </w:rPr>
              <w:t>NAVCO 1.3</w:t>
            </w:r>
          </w:p>
        </w:tc>
        <w:tc>
          <w:tcPr>
            <w:tcW w:w="3401" w:type="dxa"/>
            <w:gridSpan w:val="3"/>
            <w:tcBorders>
              <w:top w:val="single" w:sz="4" w:space="0" w:color="auto"/>
              <w:left w:val="nil"/>
              <w:bottom w:val="single" w:sz="4" w:space="0" w:color="auto"/>
              <w:right w:val="nil"/>
            </w:tcBorders>
            <w:shd w:val="clear" w:color="auto" w:fill="auto"/>
            <w:noWrap/>
            <w:vAlign w:val="bottom"/>
          </w:tcPr>
          <w:p w14:paraId="2DD01784" w14:textId="0117602F" w:rsidR="00D4551A" w:rsidRPr="00AF0D68" w:rsidRDefault="00D4551A" w:rsidP="00D4551A">
            <w:pPr>
              <w:spacing w:after="240" w:line="240" w:lineRule="auto"/>
              <w:jc w:val="center"/>
              <w:rPr>
                <w:color w:val="000000"/>
                <w:lang w:val="en-US"/>
              </w:rPr>
            </w:pPr>
            <w:r w:rsidRPr="00AF0D68">
              <w:rPr>
                <w:color w:val="000000"/>
                <w:lang w:val="en-US"/>
              </w:rPr>
              <w:t>Beissinger’s extended data</w:t>
            </w:r>
          </w:p>
        </w:tc>
      </w:tr>
      <w:tr w:rsidR="00D4551A" w:rsidRPr="00AF0D68" w14:paraId="1FAC32AB" w14:textId="77777777" w:rsidTr="005406AD">
        <w:trPr>
          <w:trHeight w:val="300"/>
          <w:jc w:val="center"/>
        </w:trPr>
        <w:tc>
          <w:tcPr>
            <w:tcW w:w="3261" w:type="dxa"/>
            <w:vMerge/>
            <w:tcBorders>
              <w:left w:val="nil"/>
              <w:bottom w:val="single" w:sz="4" w:space="0" w:color="auto"/>
              <w:right w:val="nil"/>
            </w:tcBorders>
            <w:shd w:val="clear" w:color="auto" w:fill="auto"/>
            <w:noWrap/>
            <w:vAlign w:val="bottom"/>
            <w:hideMark/>
          </w:tcPr>
          <w:p w14:paraId="659BE678" w14:textId="5BE99E2F" w:rsidR="00D4551A" w:rsidRPr="00AF0D68" w:rsidRDefault="00D4551A" w:rsidP="00D4551A">
            <w:pPr>
              <w:spacing w:after="240" w:line="240" w:lineRule="auto"/>
              <w:rPr>
                <w:color w:val="000000"/>
              </w:rPr>
            </w:pPr>
          </w:p>
        </w:tc>
        <w:tc>
          <w:tcPr>
            <w:tcW w:w="850" w:type="dxa"/>
            <w:tcBorders>
              <w:top w:val="single" w:sz="4" w:space="0" w:color="auto"/>
              <w:left w:val="nil"/>
              <w:bottom w:val="single" w:sz="4" w:space="0" w:color="auto"/>
              <w:right w:val="nil"/>
            </w:tcBorders>
            <w:shd w:val="clear" w:color="auto" w:fill="auto"/>
            <w:noWrap/>
            <w:vAlign w:val="bottom"/>
            <w:hideMark/>
          </w:tcPr>
          <w:p w14:paraId="28E584B4" w14:textId="2ED38585" w:rsidR="00D4551A" w:rsidRPr="00AF0D68" w:rsidRDefault="00D4551A" w:rsidP="00D4551A">
            <w:pPr>
              <w:spacing w:after="240" w:line="240" w:lineRule="auto"/>
              <w:jc w:val="center"/>
              <w:rPr>
                <w:color w:val="000000"/>
                <w:lang w:val="en-US"/>
              </w:rPr>
            </w:pPr>
            <w:r>
              <w:rPr>
                <w:color w:val="000000"/>
                <w:lang w:val="en-US"/>
              </w:rPr>
              <w:t>b</w:t>
            </w:r>
          </w:p>
        </w:tc>
        <w:tc>
          <w:tcPr>
            <w:tcW w:w="851" w:type="dxa"/>
            <w:tcBorders>
              <w:top w:val="single" w:sz="4" w:space="0" w:color="auto"/>
              <w:left w:val="nil"/>
              <w:bottom w:val="single" w:sz="4" w:space="0" w:color="auto"/>
              <w:right w:val="nil"/>
            </w:tcBorders>
            <w:shd w:val="clear" w:color="auto" w:fill="auto"/>
            <w:noWrap/>
            <w:vAlign w:val="bottom"/>
            <w:hideMark/>
          </w:tcPr>
          <w:p w14:paraId="0820B194" w14:textId="007346DB" w:rsidR="00D4551A" w:rsidRPr="00AF0D68" w:rsidRDefault="00D4551A" w:rsidP="00D4551A">
            <w:pPr>
              <w:spacing w:after="240" w:line="240" w:lineRule="auto"/>
              <w:jc w:val="center"/>
              <w:rPr>
                <w:color w:val="000000"/>
                <w:lang w:val="en-US"/>
              </w:rPr>
            </w:pPr>
            <w:r>
              <w:rPr>
                <w:color w:val="000000"/>
                <w:lang w:val="en-US"/>
              </w:rPr>
              <w:t>se</w:t>
            </w:r>
          </w:p>
        </w:tc>
        <w:tc>
          <w:tcPr>
            <w:tcW w:w="992" w:type="dxa"/>
            <w:tcBorders>
              <w:top w:val="single" w:sz="4" w:space="0" w:color="auto"/>
              <w:left w:val="nil"/>
              <w:bottom w:val="single" w:sz="4" w:space="0" w:color="auto"/>
              <w:right w:val="nil"/>
            </w:tcBorders>
            <w:shd w:val="clear" w:color="auto" w:fill="auto"/>
            <w:noWrap/>
            <w:vAlign w:val="bottom"/>
            <w:hideMark/>
          </w:tcPr>
          <w:p w14:paraId="6949397A" w14:textId="22902FC7" w:rsidR="00D4551A" w:rsidRPr="00AF0D68" w:rsidRDefault="00D4551A" w:rsidP="00D4551A">
            <w:pPr>
              <w:spacing w:after="240" w:line="240" w:lineRule="auto"/>
              <w:jc w:val="center"/>
              <w:rPr>
                <w:color w:val="000000"/>
                <w:lang w:val="en-US"/>
              </w:rPr>
            </w:pPr>
            <w:r>
              <w:rPr>
                <w:color w:val="000000"/>
                <w:lang w:val="en-US"/>
              </w:rPr>
              <w:t>p</w:t>
            </w:r>
          </w:p>
        </w:tc>
        <w:tc>
          <w:tcPr>
            <w:tcW w:w="1276" w:type="dxa"/>
            <w:tcBorders>
              <w:top w:val="single" w:sz="4" w:space="0" w:color="auto"/>
              <w:left w:val="nil"/>
              <w:bottom w:val="single" w:sz="4" w:space="0" w:color="auto"/>
              <w:right w:val="nil"/>
            </w:tcBorders>
            <w:shd w:val="clear" w:color="auto" w:fill="auto"/>
            <w:noWrap/>
            <w:vAlign w:val="bottom"/>
            <w:hideMark/>
          </w:tcPr>
          <w:p w14:paraId="392EFECC" w14:textId="539BAA66" w:rsidR="00D4551A" w:rsidRPr="00AF0D68" w:rsidRDefault="00D4551A" w:rsidP="00D4551A">
            <w:pPr>
              <w:spacing w:after="240" w:line="240" w:lineRule="auto"/>
              <w:jc w:val="center"/>
              <w:rPr>
                <w:color w:val="000000"/>
              </w:rPr>
            </w:pPr>
            <w:r>
              <w:rPr>
                <w:color w:val="000000"/>
                <w:lang w:val="en-US"/>
              </w:rPr>
              <w:t>b</w:t>
            </w:r>
          </w:p>
        </w:tc>
        <w:tc>
          <w:tcPr>
            <w:tcW w:w="825" w:type="dxa"/>
            <w:tcBorders>
              <w:top w:val="single" w:sz="4" w:space="0" w:color="auto"/>
              <w:left w:val="nil"/>
              <w:bottom w:val="single" w:sz="4" w:space="0" w:color="auto"/>
              <w:right w:val="nil"/>
            </w:tcBorders>
            <w:shd w:val="clear" w:color="auto" w:fill="auto"/>
            <w:noWrap/>
            <w:vAlign w:val="bottom"/>
            <w:hideMark/>
          </w:tcPr>
          <w:p w14:paraId="5AF1AD27" w14:textId="581F8978" w:rsidR="00D4551A" w:rsidRPr="00AF0D68" w:rsidRDefault="00D4551A" w:rsidP="00D4551A">
            <w:pPr>
              <w:spacing w:after="240" w:line="240" w:lineRule="auto"/>
              <w:jc w:val="center"/>
              <w:rPr>
                <w:color w:val="000000"/>
              </w:rPr>
            </w:pPr>
            <w:r>
              <w:rPr>
                <w:color w:val="000000"/>
                <w:lang w:val="en-US"/>
              </w:rPr>
              <w:t>se</w:t>
            </w:r>
          </w:p>
        </w:tc>
        <w:tc>
          <w:tcPr>
            <w:tcW w:w="1300" w:type="dxa"/>
            <w:tcBorders>
              <w:top w:val="single" w:sz="4" w:space="0" w:color="auto"/>
              <w:left w:val="nil"/>
              <w:bottom w:val="single" w:sz="4" w:space="0" w:color="auto"/>
              <w:right w:val="nil"/>
            </w:tcBorders>
            <w:shd w:val="clear" w:color="auto" w:fill="auto"/>
            <w:noWrap/>
            <w:vAlign w:val="bottom"/>
            <w:hideMark/>
          </w:tcPr>
          <w:p w14:paraId="048C913B" w14:textId="6355FA15" w:rsidR="00D4551A" w:rsidRPr="00AF0D68" w:rsidRDefault="00D4551A" w:rsidP="00D4551A">
            <w:pPr>
              <w:spacing w:after="240" w:line="240" w:lineRule="auto"/>
              <w:jc w:val="center"/>
              <w:rPr>
                <w:color w:val="000000"/>
              </w:rPr>
            </w:pPr>
            <w:r>
              <w:rPr>
                <w:color w:val="000000"/>
                <w:lang w:val="en-US"/>
              </w:rPr>
              <w:t>p</w:t>
            </w:r>
          </w:p>
        </w:tc>
      </w:tr>
      <w:tr w:rsidR="00D4551A" w:rsidRPr="00AF0D68" w14:paraId="2620B01D" w14:textId="77777777" w:rsidTr="005406AD">
        <w:trPr>
          <w:trHeight w:val="300"/>
          <w:jc w:val="center"/>
        </w:trPr>
        <w:tc>
          <w:tcPr>
            <w:tcW w:w="3261" w:type="dxa"/>
            <w:tcBorders>
              <w:top w:val="single" w:sz="4" w:space="0" w:color="auto"/>
              <w:left w:val="nil"/>
              <w:bottom w:val="nil"/>
              <w:right w:val="nil"/>
            </w:tcBorders>
            <w:shd w:val="clear" w:color="auto" w:fill="auto"/>
            <w:noWrap/>
            <w:vAlign w:val="bottom"/>
            <w:hideMark/>
          </w:tcPr>
          <w:p w14:paraId="2C20805F" w14:textId="736A19E6" w:rsidR="00D4551A" w:rsidRPr="00AF0D68" w:rsidRDefault="00D4551A" w:rsidP="00D4551A">
            <w:pPr>
              <w:spacing w:before="240" w:after="240" w:line="240" w:lineRule="auto"/>
              <w:rPr>
                <w:color w:val="000000"/>
                <w:lang w:val="en-US"/>
              </w:rPr>
            </w:pPr>
            <w:r w:rsidRPr="00AF0D68">
              <w:rPr>
                <w:color w:val="000000"/>
                <w:lang w:val="en-US"/>
              </w:rPr>
              <w:t xml:space="preserve">GDP pc, ln, linear term </w:t>
            </w:r>
          </w:p>
        </w:tc>
        <w:tc>
          <w:tcPr>
            <w:tcW w:w="850" w:type="dxa"/>
            <w:tcBorders>
              <w:top w:val="single" w:sz="4" w:space="0" w:color="auto"/>
              <w:left w:val="nil"/>
              <w:bottom w:val="nil"/>
              <w:right w:val="nil"/>
            </w:tcBorders>
            <w:shd w:val="clear" w:color="auto" w:fill="auto"/>
            <w:noWrap/>
            <w:vAlign w:val="bottom"/>
            <w:hideMark/>
          </w:tcPr>
          <w:p w14:paraId="75E98377" w14:textId="1AB6F77D" w:rsidR="00D4551A" w:rsidRPr="002B7D42" w:rsidRDefault="00D4551A" w:rsidP="00D4551A">
            <w:pPr>
              <w:spacing w:before="240" w:after="240" w:line="240" w:lineRule="auto"/>
              <w:jc w:val="center"/>
              <w:rPr>
                <w:color w:val="000000"/>
                <w:lang w:val="en-US"/>
              </w:rPr>
            </w:pPr>
            <w:r w:rsidRPr="00AF0D68">
              <w:rPr>
                <w:color w:val="000000"/>
              </w:rPr>
              <w:t>5.0</w:t>
            </w:r>
            <w:r>
              <w:rPr>
                <w:color w:val="000000"/>
                <w:lang w:val="en-US"/>
              </w:rPr>
              <w:t>9</w:t>
            </w:r>
          </w:p>
        </w:tc>
        <w:tc>
          <w:tcPr>
            <w:tcW w:w="851" w:type="dxa"/>
            <w:tcBorders>
              <w:top w:val="single" w:sz="4" w:space="0" w:color="auto"/>
              <w:left w:val="nil"/>
              <w:bottom w:val="nil"/>
              <w:right w:val="nil"/>
            </w:tcBorders>
            <w:shd w:val="clear" w:color="auto" w:fill="auto"/>
            <w:noWrap/>
            <w:vAlign w:val="bottom"/>
            <w:hideMark/>
          </w:tcPr>
          <w:p w14:paraId="1A656CF6" w14:textId="34422423" w:rsidR="00D4551A" w:rsidRPr="00BD5335" w:rsidRDefault="00D4551A" w:rsidP="00D4551A">
            <w:pPr>
              <w:spacing w:before="240" w:after="240" w:line="240" w:lineRule="auto"/>
              <w:jc w:val="center"/>
              <w:rPr>
                <w:color w:val="000000"/>
                <w:lang w:val="en-US"/>
              </w:rPr>
            </w:pPr>
            <w:r w:rsidRPr="00AF0D68">
              <w:rPr>
                <w:color w:val="000000"/>
              </w:rPr>
              <w:t>1.01</w:t>
            </w:r>
            <w:r>
              <w:rPr>
                <w:color w:val="000000"/>
                <w:lang w:val="en-US"/>
              </w:rPr>
              <w:t>9</w:t>
            </w:r>
          </w:p>
        </w:tc>
        <w:tc>
          <w:tcPr>
            <w:tcW w:w="992" w:type="dxa"/>
            <w:tcBorders>
              <w:top w:val="single" w:sz="4" w:space="0" w:color="auto"/>
              <w:left w:val="nil"/>
              <w:bottom w:val="nil"/>
              <w:right w:val="nil"/>
            </w:tcBorders>
            <w:shd w:val="clear" w:color="auto" w:fill="auto"/>
            <w:noWrap/>
            <w:vAlign w:val="bottom"/>
            <w:hideMark/>
          </w:tcPr>
          <w:p w14:paraId="4011CF17" w14:textId="1693F022" w:rsidR="00D4551A" w:rsidRPr="00AF0D68" w:rsidRDefault="00D4551A" w:rsidP="00D4551A">
            <w:pPr>
              <w:spacing w:before="240" w:after="240" w:line="240" w:lineRule="auto"/>
              <w:jc w:val="center"/>
              <w:rPr>
                <w:color w:val="000000"/>
                <w:lang w:val="en-US"/>
              </w:rPr>
            </w:pPr>
            <w:r w:rsidRPr="00AF0D68">
              <w:rPr>
                <w:color w:val="000000"/>
                <w:lang w:val="en-US"/>
              </w:rPr>
              <w:t>&lt;0.001</w:t>
            </w:r>
          </w:p>
        </w:tc>
        <w:tc>
          <w:tcPr>
            <w:tcW w:w="1276" w:type="dxa"/>
            <w:tcBorders>
              <w:top w:val="single" w:sz="4" w:space="0" w:color="auto"/>
              <w:left w:val="nil"/>
              <w:bottom w:val="nil"/>
              <w:right w:val="nil"/>
            </w:tcBorders>
            <w:shd w:val="clear" w:color="auto" w:fill="auto"/>
            <w:noWrap/>
            <w:vAlign w:val="bottom"/>
            <w:hideMark/>
          </w:tcPr>
          <w:p w14:paraId="06428844" w14:textId="35AA71F9" w:rsidR="00D4551A" w:rsidRPr="00077F1C" w:rsidRDefault="00D4551A" w:rsidP="00D4551A">
            <w:pPr>
              <w:spacing w:before="240" w:after="240" w:line="240" w:lineRule="auto"/>
              <w:jc w:val="center"/>
              <w:rPr>
                <w:color w:val="000000"/>
                <w:lang w:val="en-US"/>
              </w:rPr>
            </w:pPr>
            <w:r w:rsidRPr="00AF0D68">
              <w:rPr>
                <w:color w:val="000000"/>
              </w:rPr>
              <w:t>5.</w:t>
            </w:r>
            <w:r>
              <w:rPr>
                <w:color w:val="000000"/>
                <w:lang w:val="en-US"/>
              </w:rPr>
              <w:t>176</w:t>
            </w:r>
          </w:p>
        </w:tc>
        <w:tc>
          <w:tcPr>
            <w:tcW w:w="825" w:type="dxa"/>
            <w:tcBorders>
              <w:top w:val="single" w:sz="4" w:space="0" w:color="auto"/>
              <w:left w:val="nil"/>
              <w:bottom w:val="nil"/>
              <w:right w:val="nil"/>
            </w:tcBorders>
            <w:shd w:val="clear" w:color="auto" w:fill="auto"/>
            <w:noWrap/>
            <w:vAlign w:val="bottom"/>
            <w:hideMark/>
          </w:tcPr>
          <w:p w14:paraId="41724330" w14:textId="347FBF49" w:rsidR="00D4551A" w:rsidRPr="00AF0D68" w:rsidRDefault="00D4551A" w:rsidP="00D4551A">
            <w:pPr>
              <w:spacing w:before="240" w:after="240" w:line="240" w:lineRule="auto"/>
              <w:jc w:val="center"/>
              <w:rPr>
                <w:color w:val="000000"/>
              </w:rPr>
            </w:pPr>
            <w:r w:rsidRPr="00AF0D68">
              <w:rPr>
                <w:color w:val="000000"/>
              </w:rPr>
              <w:t>1.1</w:t>
            </w:r>
            <w:r>
              <w:rPr>
                <w:color w:val="000000"/>
                <w:lang w:val="en-US"/>
              </w:rPr>
              <w:t>2</w:t>
            </w:r>
            <w:r w:rsidRPr="00AF0D68">
              <w:rPr>
                <w:color w:val="000000"/>
              </w:rPr>
              <w:t>9</w:t>
            </w:r>
          </w:p>
        </w:tc>
        <w:tc>
          <w:tcPr>
            <w:tcW w:w="1300" w:type="dxa"/>
            <w:tcBorders>
              <w:top w:val="single" w:sz="4" w:space="0" w:color="auto"/>
              <w:left w:val="nil"/>
              <w:bottom w:val="nil"/>
              <w:right w:val="nil"/>
            </w:tcBorders>
            <w:shd w:val="clear" w:color="auto" w:fill="auto"/>
            <w:noWrap/>
            <w:vAlign w:val="bottom"/>
            <w:hideMark/>
          </w:tcPr>
          <w:p w14:paraId="578861E7" w14:textId="221D4B35" w:rsidR="00D4551A" w:rsidRPr="00AF0D68" w:rsidRDefault="00D4551A" w:rsidP="00D4551A">
            <w:pPr>
              <w:spacing w:before="240" w:after="240" w:line="240" w:lineRule="auto"/>
              <w:jc w:val="center"/>
              <w:rPr>
                <w:color w:val="000000"/>
              </w:rPr>
            </w:pPr>
            <w:r w:rsidRPr="00AF0D68">
              <w:rPr>
                <w:color w:val="000000"/>
                <w:lang w:val="en-US"/>
              </w:rPr>
              <w:t>&lt;0.001</w:t>
            </w:r>
          </w:p>
        </w:tc>
      </w:tr>
      <w:tr w:rsidR="00D4551A" w:rsidRPr="00AF0D68" w14:paraId="70127AF7" w14:textId="77777777" w:rsidTr="005406AD">
        <w:trPr>
          <w:trHeight w:val="300"/>
          <w:jc w:val="center"/>
        </w:trPr>
        <w:tc>
          <w:tcPr>
            <w:tcW w:w="3261" w:type="dxa"/>
            <w:tcBorders>
              <w:top w:val="nil"/>
              <w:left w:val="nil"/>
              <w:bottom w:val="single" w:sz="4" w:space="0" w:color="auto"/>
              <w:right w:val="nil"/>
            </w:tcBorders>
            <w:shd w:val="clear" w:color="auto" w:fill="auto"/>
            <w:noWrap/>
            <w:vAlign w:val="bottom"/>
            <w:hideMark/>
          </w:tcPr>
          <w:p w14:paraId="4F11102A" w14:textId="1A398D97" w:rsidR="00D4551A" w:rsidRPr="00AF0D68" w:rsidRDefault="00D4551A" w:rsidP="00D4551A">
            <w:pPr>
              <w:spacing w:before="240" w:after="240" w:line="240" w:lineRule="auto"/>
              <w:rPr>
                <w:color w:val="000000"/>
                <w:lang w:val="en-US"/>
              </w:rPr>
            </w:pPr>
            <w:r w:rsidRPr="00AF0D68">
              <w:rPr>
                <w:color w:val="000000"/>
                <w:lang w:val="en-US"/>
              </w:rPr>
              <w:t>GDP pc, ln, quadratic term</w:t>
            </w:r>
          </w:p>
        </w:tc>
        <w:tc>
          <w:tcPr>
            <w:tcW w:w="850" w:type="dxa"/>
            <w:tcBorders>
              <w:top w:val="nil"/>
              <w:left w:val="nil"/>
              <w:bottom w:val="single" w:sz="4" w:space="0" w:color="auto"/>
              <w:right w:val="nil"/>
            </w:tcBorders>
            <w:shd w:val="clear" w:color="auto" w:fill="auto"/>
            <w:noWrap/>
            <w:vAlign w:val="bottom"/>
            <w:hideMark/>
          </w:tcPr>
          <w:p w14:paraId="5CA60DF9" w14:textId="79C7FA6A" w:rsidR="00D4551A" w:rsidRPr="002B7D42" w:rsidRDefault="00D4551A" w:rsidP="00D4551A">
            <w:pPr>
              <w:spacing w:before="240" w:after="240" w:line="240" w:lineRule="auto"/>
              <w:jc w:val="center"/>
              <w:rPr>
                <w:color w:val="000000"/>
                <w:lang w:val="en-US"/>
              </w:rPr>
            </w:pPr>
            <w:r w:rsidRPr="00AF0D68">
              <w:rPr>
                <w:color w:val="000000"/>
              </w:rPr>
              <w:t>-0.28</w:t>
            </w:r>
            <w:r>
              <w:rPr>
                <w:color w:val="000000"/>
                <w:lang w:val="en-US"/>
              </w:rPr>
              <w:t>9</w:t>
            </w:r>
          </w:p>
        </w:tc>
        <w:tc>
          <w:tcPr>
            <w:tcW w:w="851" w:type="dxa"/>
            <w:tcBorders>
              <w:top w:val="nil"/>
              <w:left w:val="nil"/>
              <w:bottom w:val="single" w:sz="4" w:space="0" w:color="auto"/>
              <w:right w:val="nil"/>
            </w:tcBorders>
            <w:shd w:val="clear" w:color="auto" w:fill="auto"/>
            <w:noWrap/>
            <w:vAlign w:val="bottom"/>
            <w:hideMark/>
          </w:tcPr>
          <w:p w14:paraId="6972E6D1" w14:textId="6B6FB73E" w:rsidR="00D4551A" w:rsidRPr="00AF0D68" w:rsidRDefault="00D4551A" w:rsidP="00D4551A">
            <w:pPr>
              <w:spacing w:before="240" w:after="240" w:line="240" w:lineRule="auto"/>
              <w:jc w:val="center"/>
              <w:rPr>
                <w:color w:val="000000"/>
              </w:rPr>
            </w:pPr>
            <w:r w:rsidRPr="00AF0D68">
              <w:rPr>
                <w:color w:val="000000"/>
              </w:rPr>
              <w:t>0.059</w:t>
            </w:r>
          </w:p>
        </w:tc>
        <w:tc>
          <w:tcPr>
            <w:tcW w:w="992" w:type="dxa"/>
            <w:tcBorders>
              <w:top w:val="nil"/>
              <w:left w:val="nil"/>
              <w:bottom w:val="single" w:sz="4" w:space="0" w:color="auto"/>
              <w:right w:val="nil"/>
            </w:tcBorders>
            <w:shd w:val="clear" w:color="auto" w:fill="auto"/>
            <w:noWrap/>
            <w:vAlign w:val="bottom"/>
            <w:hideMark/>
          </w:tcPr>
          <w:p w14:paraId="780DC633" w14:textId="7125C103" w:rsidR="00D4551A" w:rsidRPr="00AF0D68" w:rsidRDefault="00D4551A" w:rsidP="00D4551A">
            <w:pPr>
              <w:spacing w:before="240" w:after="240" w:line="240" w:lineRule="auto"/>
              <w:jc w:val="center"/>
              <w:rPr>
                <w:color w:val="000000"/>
              </w:rPr>
            </w:pPr>
            <w:r w:rsidRPr="00AF0D68">
              <w:rPr>
                <w:color w:val="000000"/>
                <w:lang w:val="en-US"/>
              </w:rPr>
              <w:t>&lt;0.001</w:t>
            </w:r>
          </w:p>
        </w:tc>
        <w:tc>
          <w:tcPr>
            <w:tcW w:w="1276" w:type="dxa"/>
            <w:tcBorders>
              <w:top w:val="nil"/>
              <w:left w:val="nil"/>
              <w:bottom w:val="single" w:sz="4" w:space="0" w:color="auto"/>
              <w:right w:val="nil"/>
            </w:tcBorders>
            <w:shd w:val="clear" w:color="auto" w:fill="auto"/>
            <w:noWrap/>
            <w:vAlign w:val="bottom"/>
            <w:hideMark/>
          </w:tcPr>
          <w:p w14:paraId="43799068" w14:textId="39419BC6" w:rsidR="00D4551A" w:rsidRPr="00077F1C" w:rsidRDefault="00D4551A" w:rsidP="00D4551A">
            <w:pPr>
              <w:spacing w:before="240" w:after="240" w:line="240" w:lineRule="auto"/>
              <w:jc w:val="center"/>
              <w:rPr>
                <w:color w:val="000000"/>
                <w:lang w:val="en-US"/>
              </w:rPr>
            </w:pPr>
            <w:r w:rsidRPr="00AF0D68">
              <w:rPr>
                <w:color w:val="000000"/>
              </w:rPr>
              <w:t>-0.</w:t>
            </w:r>
            <w:r>
              <w:rPr>
                <w:color w:val="000000"/>
                <w:lang w:val="en-US"/>
              </w:rPr>
              <w:t>296</w:t>
            </w:r>
          </w:p>
        </w:tc>
        <w:tc>
          <w:tcPr>
            <w:tcW w:w="825" w:type="dxa"/>
            <w:tcBorders>
              <w:top w:val="nil"/>
              <w:left w:val="nil"/>
              <w:bottom w:val="single" w:sz="4" w:space="0" w:color="auto"/>
              <w:right w:val="nil"/>
            </w:tcBorders>
            <w:shd w:val="clear" w:color="auto" w:fill="auto"/>
            <w:noWrap/>
            <w:vAlign w:val="bottom"/>
            <w:hideMark/>
          </w:tcPr>
          <w:p w14:paraId="29A5C59E" w14:textId="77E80F90" w:rsidR="00D4551A" w:rsidRPr="00AF0D68" w:rsidRDefault="00D4551A" w:rsidP="00D4551A">
            <w:pPr>
              <w:spacing w:before="240" w:after="240" w:line="240" w:lineRule="auto"/>
              <w:jc w:val="center"/>
              <w:rPr>
                <w:color w:val="000000"/>
              </w:rPr>
            </w:pPr>
            <w:r w:rsidRPr="00AF0D68">
              <w:rPr>
                <w:color w:val="000000"/>
              </w:rPr>
              <w:t>0.064</w:t>
            </w:r>
          </w:p>
        </w:tc>
        <w:tc>
          <w:tcPr>
            <w:tcW w:w="1300" w:type="dxa"/>
            <w:tcBorders>
              <w:top w:val="nil"/>
              <w:left w:val="nil"/>
              <w:bottom w:val="single" w:sz="4" w:space="0" w:color="auto"/>
              <w:right w:val="nil"/>
            </w:tcBorders>
            <w:shd w:val="clear" w:color="auto" w:fill="auto"/>
            <w:noWrap/>
            <w:vAlign w:val="bottom"/>
            <w:hideMark/>
          </w:tcPr>
          <w:p w14:paraId="579AFE16" w14:textId="617BE1CD" w:rsidR="00D4551A" w:rsidRPr="00AF0D68" w:rsidRDefault="00D4551A" w:rsidP="00D4551A">
            <w:pPr>
              <w:spacing w:before="240" w:after="240" w:line="240" w:lineRule="auto"/>
              <w:jc w:val="center"/>
              <w:rPr>
                <w:color w:val="000000"/>
              </w:rPr>
            </w:pPr>
            <w:r w:rsidRPr="00AF0D68">
              <w:rPr>
                <w:color w:val="000000"/>
                <w:lang w:val="en-US"/>
              </w:rPr>
              <w:t>&lt;0.001</w:t>
            </w:r>
          </w:p>
        </w:tc>
      </w:tr>
      <w:tr w:rsidR="00D4551A" w:rsidRPr="00AF0D68" w14:paraId="75F6A08A" w14:textId="77777777" w:rsidTr="005406AD">
        <w:trPr>
          <w:trHeight w:val="300"/>
          <w:jc w:val="center"/>
        </w:trPr>
        <w:tc>
          <w:tcPr>
            <w:tcW w:w="3261" w:type="dxa"/>
            <w:tcBorders>
              <w:top w:val="single" w:sz="4" w:space="0" w:color="auto"/>
              <w:left w:val="nil"/>
              <w:bottom w:val="single" w:sz="4" w:space="0" w:color="auto"/>
              <w:right w:val="nil"/>
            </w:tcBorders>
            <w:shd w:val="clear" w:color="auto" w:fill="auto"/>
            <w:noWrap/>
            <w:vAlign w:val="bottom"/>
            <w:hideMark/>
          </w:tcPr>
          <w:p w14:paraId="100441EE" w14:textId="1DA4CCFF" w:rsidR="00D4551A" w:rsidRPr="00AF0D68" w:rsidRDefault="00D4551A" w:rsidP="00D4551A">
            <w:pPr>
              <w:spacing w:before="240" w:after="240" w:line="240" w:lineRule="auto"/>
              <w:rPr>
                <w:color w:val="000000"/>
                <w:lang w:val="en-US"/>
              </w:rPr>
            </w:pPr>
            <w:r w:rsidRPr="00AF0D68">
              <w:rPr>
                <w:color w:val="000000"/>
                <w:lang w:val="en-US"/>
              </w:rPr>
              <w:t>GDP pc, ln</w:t>
            </w:r>
          </w:p>
        </w:tc>
        <w:tc>
          <w:tcPr>
            <w:tcW w:w="850" w:type="dxa"/>
            <w:tcBorders>
              <w:top w:val="single" w:sz="4" w:space="0" w:color="auto"/>
              <w:left w:val="nil"/>
              <w:bottom w:val="single" w:sz="4" w:space="0" w:color="auto"/>
              <w:right w:val="nil"/>
            </w:tcBorders>
            <w:shd w:val="clear" w:color="auto" w:fill="auto"/>
            <w:noWrap/>
            <w:vAlign w:val="bottom"/>
            <w:hideMark/>
          </w:tcPr>
          <w:p w14:paraId="0E620608" w14:textId="04B38848" w:rsidR="00D4551A" w:rsidRPr="002B7D42" w:rsidRDefault="00D4551A" w:rsidP="00D4551A">
            <w:pPr>
              <w:spacing w:before="240" w:after="240" w:line="240" w:lineRule="auto"/>
              <w:jc w:val="center"/>
              <w:rPr>
                <w:color w:val="000000"/>
                <w:lang w:val="en-US"/>
              </w:rPr>
            </w:pPr>
            <w:r w:rsidRPr="00AF0D68">
              <w:rPr>
                <w:color w:val="000000"/>
              </w:rPr>
              <w:t>0.08</w:t>
            </w:r>
            <w:r>
              <w:rPr>
                <w:color w:val="000000"/>
                <w:lang w:val="en-US"/>
              </w:rPr>
              <w:t>9</w:t>
            </w:r>
          </w:p>
        </w:tc>
        <w:tc>
          <w:tcPr>
            <w:tcW w:w="851" w:type="dxa"/>
            <w:tcBorders>
              <w:top w:val="single" w:sz="4" w:space="0" w:color="auto"/>
              <w:left w:val="nil"/>
              <w:bottom w:val="single" w:sz="4" w:space="0" w:color="auto"/>
              <w:right w:val="nil"/>
            </w:tcBorders>
            <w:shd w:val="clear" w:color="auto" w:fill="auto"/>
            <w:noWrap/>
            <w:vAlign w:val="bottom"/>
            <w:hideMark/>
          </w:tcPr>
          <w:p w14:paraId="618E07B8" w14:textId="58E3D3F7" w:rsidR="00D4551A" w:rsidRPr="00BD5335" w:rsidRDefault="00D4551A" w:rsidP="00D4551A">
            <w:pPr>
              <w:spacing w:before="240" w:after="240" w:line="240" w:lineRule="auto"/>
              <w:jc w:val="center"/>
              <w:rPr>
                <w:color w:val="000000"/>
                <w:lang w:val="en-US"/>
              </w:rPr>
            </w:pPr>
            <w:r w:rsidRPr="00AF0D68">
              <w:rPr>
                <w:color w:val="000000"/>
              </w:rPr>
              <w:t>0.11</w:t>
            </w:r>
            <w:r>
              <w:rPr>
                <w:color w:val="000000"/>
                <w:lang w:val="en-US"/>
              </w:rPr>
              <w:t>5</w:t>
            </w:r>
          </w:p>
        </w:tc>
        <w:tc>
          <w:tcPr>
            <w:tcW w:w="992" w:type="dxa"/>
            <w:tcBorders>
              <w:top w:val="single" w:sz="4" w:space="0" w:color="auto"/>
              <w:left w:val="nil"/>
              <w:bottom w:val="single" w:sz="4" w:space="0" w:color="auto"/>
              <w:right w:val="nil"/>
            </w:tcBorders>
            <w:shd w:val="clear" w:color="auto" w:fill="auto"/>
            <w:noWrap/>
            <w:vAlign w:val="bottom"/>
            <w:hideMark/>
          </w:tcPr>
          <w:p w14:paraId="20CAFB22" w14:textId="58AF3A51" w:rsidR="00D4551A" w:rsidRPr="00BD5335" w:rsidRDefault="00D4551A" w:rsidP="00D4551A">
            <w:pPr>
              <w:spacing w:before="240" w:after="240" w:line="240" w:lineRule="auto"/>
              <w:jc w:val="center"/>
              <w:rPr>
                <w:color w:val="000000"/>
                <w:lang w:val="en-US"/>
              </w:rPr>
            </w:pPr>
            <w:r w:rsidRPr="00AF0D68">
              <w:rPr>
                <w:color w:val="000000"/>
              </w:rPr>
              <w:t>0.4</w:t>
            </w:r>
            <w:r>
              <w:rPr>
                <w:color w:val="000000"/>
                <w:lang w:val="en-US"/>
              </w:rPr>
              <w:t>4</w:t>
            </w:r>
          </w:p>
        </w:tc>
        <w:tc>
          <w:tcPr>
            <w:tcW w:w="1276" w:type="dxa"/>
            <w:tcBorders>
              <w:top w:val="single" w:sz="4" w:space="0" w:color="auto"/>
              <w:left w:val="nil"/>
              <w:bottom w:val="single" w:sz="4" w:space="0" w:color="auto"/>
              <w:right w:val="nil"/>
            </w:tcBorders>
            <w:shd w:val="clear" w:color="auto" w:fill="auto"/>
            <w:noWrap/>
            <w:vAlign w:val="bottom"/>
            <w:hideMark/>
          </w:tcPr>
          <w:p w14:paraId="2611004D" w14:textId="4DF0A44C" w:rsidR="00D4551A" w:rsidRPr="00077F1C" w:rsidRDefault="00D4551A" w:rsidP="00D4551A">
            <w:pPr>
              <w:spacing w:before="240" w:after="240" w:line="240" w:lineRule="auto"/>
              <w:jc w:val="center"/>
              <w:rPr>
                <w:color w:val="000000"/>
                <w:lang w:val="en-US"/>
              </w:rPr>
            </w:pPr>
            <w:r>
              <w:rPr>
                <w:color w:val="000000"/>
                <w:lang w:val="en-US"/>
              </w:rPr>
              <w:t>-</w:t>
            </w:r>
            <w:r w:rsidRPr="00AF0D68">
              <w:rPr>
                <w:color w:val="000000"/>
              </w:rPr>
              <w:t>0.0</w:t>
            </w:r>
            <w:r>
              <w:rPr>
                <w:color w:val="000000"/>
                <w:lang w:val="en-US"/>
              </w:rPr>
              <w:t>03</w:t>
            </w:r>
          </w:p>
        </w:tc>
        <w:tc>
          <w:tcPr>
            <w:tcW w:w="825" w:type="dxa"/>
            <w:tcBorders>
              <w:top w:val="single" w:sz="4" w:space="0" w:color="auto"/>
              <w:left w:val="nil"/>
              <w:bottom w:val="single" w:sz="4" w:space="0" w:color="auto"/>
              <w:right w:val="nil"/>
            </w:tcBorders>
            <w:shd w:val="clear" w:color="auto" w:fill="auto"/>
            <w:noWrap/>
            <w:vAlign w:val="bottom"/>
            <w:hideMark/>
          </w:tcPr>
          <w:p w14:paraId="75453F3E" w14:textId="42FEFA73" w:rsidR="00D4551A" w:rsidRPr="00077F1C" w:rsidRDefault="00D4551A" w:rsidP="00D4551A">
            <w:pPr>
              <w:spacing w:before="240" w:after="240" w:line="240" w:lineRule="auto"/>
              <w:jc w:val="center"/>
              <w:rPr>
                <w:color w:val="000000"/>
                <w:lang w:val="en-US"/>
              </w:rPr>
            </w:pPr>
            <w:r w:rsidRPr="00AF0D68">
              <w:rPr>
                <w:color w:val="000000"/>
              </w:rPr>
              <w:t>0.14</w:t>
            </w:r>
            <w:r>
              <w:rPr>
                <w:color w:val="000000"/>
                <w:lang w:val="en-US"/>
              </w:rPr>
              <w:t>5</w:t>
            </w:r>
          </w:p>
        </w:tc>
        <w:tc>
          <w:tcPr>
            <w:tcW w:w="1300" w:type="dxa"/>
            <w:tcBorders>
              <w:top w:val="single" w:sz="4" w:space="0" w:color="auto"/>
              <w:left w:val="nil"/>
              <w:bottom w:val="single" w:sz="4" w:space="0" w:color="auto"/>
              <w:right w:val="nil"/>
            </w:tcBorders>
            <w:shd w:val="clear" w:color="auto" w:fill="auto"/>
            <w:noWrap/>
            <w:vAlign w:val="bottom"/>
            <w:hideMark/>
          </w:tcPr>
          <w:p w14:paraId="7C983358" w14:textId="0CD75079" w:rsidR="00D4551A" w:rsidRPr="00077F1C" w:rsidRDefault="00D4551A" w:rsidP="00D4551A">
            <w:pPr>
              <w:spacing w:before="240" w:after="240" w:line="240" w:lineRule="auto"/>
              <w:jc w:val="center"/>
              <w:rPr>
                <w:color w:val="000000"/>
                <w:lang w:val="en-US"/>
              </w:rPr>
            </w:pPr>
            <w:r w:rsidRPr="00AF0D68">
              <w:rPr>
                <w:color w:val="000000"/>
              </w:rPr>
              <w:t>0.9</w:t>
            </w:r>
            <w:r>
              <w:rPr>
                <w:color w:val="000000"/>
                <w:lang w:val="en-US"/>
              </w:rPr>
              <w:t>86</w:t>
            </w:r>
          </w:p>
        </w:tc>
      </w:tr>
      <w:tr w:rsidR="00D4551A" w:rsidRPr="005B3817" w14:paraId="2D8EC51C" w14:textId="77777777" w:rsidTr="005406AD">
        <w:trPr>
          <w:trHeight w:val="300"/>
          <w:jc w:val="center"/>
        </w:trPr>
        <w:tc>
          <w:tcPr>
            <w:tcW w:w="9355" w:type="dxa"/>
            <w:gridSpan w:val="7"/>
            <w:tcBorders>
              <w:top w:val="single" w:sz="4" w:space="0" w:color="auto"/>
              <w:left w:val="nil"/>
              <w:bottom w:val="nil"/>
              <w:right w:val="nil"/>
            </w:tcBorders>
            <w:shd w:val="clear" w:color="auto" w:fill="auto"/>
            <w:noWrap/>
            <w:vAlign w:val="bottom"/>
          </w:tcPr>
          <w:p w14:paraId="1033C810" w14:textId="437F55FA" w:rsidR="00D4551A" w:rsidRPr="00983DBC" w:rsidRDefault="00D4551A" w:rsidP="00D4551A">
            <w:pPr>
              <w:spacing w:line="240" w:lineRule="auto"/>
              <w:rPr>
                <w:i/>
                <w:iCs/>
                <w:color w:val="000000"/>
                <w:lang w:val="en-US"/>
              </w:rPr>
            </w:pPr>
            <w:r w:rsidRPr="00983DBC">
              <w:rPr>
                <w:i/>
                <w:iCs/>
                <w:color w:val="000000"/>
                <w:lang w:val="en-US"/>
              </w:rPr>
              <w:t xml:space="preserve">Note: </w:t>
            </w:r>
            <w:r>
              <w:rPr>
                <w:i/>
                <w:iCs/>
                <w:color w:val="000000"/>
                <w:lang w:val="en-US"/>
              </w:rPr>
              <w:t>r</w:t>
            </w:r>
            <w:r w:rsidRPr="00983DBC">
              <w:rPr>
                <w:i/>
                <w:iCs/>
                <w:color w:val="000000"/>
                <w:lang w:val="en-US"/>
              </w:rPr>
              <w:t>esults</w:t>
            </w:r>
            <w:r w:rsidR="003D1EB0">
              <w:rPr>
                <w:i/>
                <w:iCs/>
                <w:color w:val="000000"/>
                <w:lang w:val="en-US"/>
              </w:rPr>
              <w:t xml:space="preserve"> are</w:t>
            </w:r>
            <w:r w:rsidRPr="00983DBC">
              <w:rPr>
                <w:i/>
                <w:iCs/>
                <w:color w:val="000000"/>
                <w:lang w:val="en-US"/>
              </w:rPr>
              <w:t xml:space="preserve"> based on </w:t>
            </w:r>
            <w:r w:rsidRPr="00BD5335">
              <w:rPr>
                <w:rFonts w:eastAsiaTheme="minorEastAsia"/>
                <w:i/>
                <w:iCs/>
                <w:lang w:val="en-US"/>
              </w:rPr>
              <w:t>23</w:t>
            </w:r>
            <w:r>
              <w:rPr>
                <w:rFonts w:eastAsiaTheme="minorEastAsia"/>
                <w:i/>
                <w:iCs/>
                <w:lang w:val="en-US"/>
              </w:rPr>
              <w:t xml:space="preserve"> </w:t>
            </w:r>
            <w:r w:rsidRPr="00BD5335">
              <w:rPr>
                <w:rFonts w:eastAsiaTheme="minorEastAsia"/>
                <w:i/>
                <w:iCs/>
                <w:lang w:val="en-US"/>
              </w:rPr>
              <w:t>772</w:t>
            </w:r>
            <w:r>
              <w:rPr>
                <w:rFonts w:eastAsiaTheme="minorEastAsia"/>
                <w:lang w:val="en-US"/>
              </w:rPr>
              <w:t xml:space="preserve"> </w:t>
            </w:r>
            <w:r>
              <w:rPr>
                <w:i/>
                <w:iCs/>
                <w:color w:val="000000"/>
                <w:lang w:val="en-US"/>
              </w:rPr>
              <w:t xml:space="preserve">unique </w:t>
            </w:r>
            <w:r w:rsidRPr="00983DBC">
              <w:rPr>
                <w:i/>
                <w:iCs/>
                <w:color w:val="000000"/>
                <w:lang w:val="en-US"/>
              </w:rPr>
              <w:t>specifications with at least 4 control variables</w:t>
            </w:r>
            <w:r>
              <w:rPr>
                <w:i/>
                <w:iCs/>
                <w:color w:val="000000"/>
                <w:lang w:val="en-US"/>
              </w:rPr>
              <w:t xml:space="preserve"> from 12 possible and 2 constant controls</w:t>
            </w:r>
            <w:r w:rsidRPr="00983DBC">
              <w:rPr>
                <w:i/>
                <w:iCs/>
                <w:color w:val="000000"/>
                <w:lang w:val="en-US"/>
              </w:rPr>
              <w:t xml:space="preserve">; fixed-effects for years are included; standard errors are clustered on countries; each model is estimated on 50 imputed datasets; all variables are lagged for 1 year. </w:t>
            </w:r>
          </w:p>
        </w:tc>
      </w:tr>
    </w:tbl>
    <w:p w14:paraId="5A23CF42" w14:textId="77777777" w:rsidR="00240C91" w:rsidRDefault="00240C91" w:rsidP="00AF0D68">
      <w:pPr>
        <w:rPr>
          <w:rFonts w:eastAsiaTheme="minorEastAsia"/>
          <w:lang w:val="en-US"/>
        </w:rPr>
      </w:pPr>
    </w:p>
    <w:p w14:paraId="40C32854" w14:textId="6351E21A" w:rsidR="00B56094" w:rsidRDefault="00481BB8" w:rsidP="00AF0D68">
      <w:pPr>
        <w:pStyle w:val="1"/>
        <w:spacing w:line="360" w:lineRule="auto"/>
        <w:rPr>
          <w:lang w:val="en-US"/>
        </w:rPr>
      </w:pPr>
      <w:r>
        <w:rPr>
          <w:lang w:val="en-US"/>
        </w:rPr>
        <w:t>References</w:t>
      </w:r>
    </w:p>
    <w:p w14:paraId="24F635F6" w14:textId="77777777" w:rsidR="002365CA" w:rsidRPr="002365CA" w:rsidRDefault="00C745C8" w:rsidP="002365CA">
      <w:pPr>
        <w:widowControl w:val="0"/>
        <w:autoSpaceDE w:val="0"/>
        <w:autoSpaceDN w:val="0"/>
        <w:adjustRightInd w:val="0"/>
        <w:rPr>
          <w:lang w:val="en-US"/>
        </w:rPr>
      </w:pPr>
      <w:r>
        <w:rPr>
          <w:lang w:val="en-US"/>
        </w:rPr>
        <w:fldChar w:fldCharType="begin"/>
      </w:r>
      <w:r w:rsidR="002365CA">
        <w:rPr>
          <w:lang w:val="en-US"/>
        </w:rPr>
        <w:instrText xml:space="preserve"> ADDIN ZOTERO_BIBL {"uncited":[],"omitted":[],"custom":[]} CSL_BIBLIOGRAPHY </w:instrText>
      </w:r>
      <w:r>
        <w:rPr>
          <w:lang w:val="en-US"/>
        </w:rPr>
        <w:fldChar w:fldCharType="separate"/>
      </w:r>
      <w:r w:rsidR="002365CA" w:rsidRPr="002365CA">
        <w:rPr>
          <w:lang w:val="en-US"/>
        </w:rPr>
        <w:t xml:space="preserve">Beissinger, Mark. 2022. </w:t>
      </w:r>
      <w:r w:rsidR="002365CA" w:rsidRPr="002365CA">
        <w:rPr>
          <w:i/>
          <w:iCs/>
          <w:lang w:val="en-US"/>
        </w:rPr>
        <w:t>The Revolutionary City: Urbanization and the Global Transformation of Rebellion</w:t>
      </w:r>
      <w:r w:rsidR="002365CA" w:rsidRPr="002365CA">
        <w:rPr>
          <w:lang w:val="en-US"/>
        </w:rPr>
        <w:t>. Princeton University Press.</w:t>
      </w:r>
    </w:p>
    <w:p w14:paraId="1480D5BE" w14:textId="77777777" w:rsidR="002365CA" w:rsidRPr="002365CA" w:rsidRDefault="002365CA" w:rsidP="002365CA">
      <w:pPr>
        <w:widowControl w:val="0"/>
        <w:autoSpaceDE w:val="0"/>
        <w:autoSpaceDN w:val="0"/>
        <w:adjustRightInd w:val="0"/>
        <w:rPr>
          <w:lang w:val="en-US"/>
        </w:rPr>
      </w:pPr>
      <w:r w:rsidRPr="002365CA">
        <w:rPr>
          <w:lang w:val="en-US"/>
        </w:rPr>
        <w:t xml:space="preserve">Chenoweth, Erica, and W. S. Christopher. 2020. </w:t>
      </w:r>
      <w:r w:rsidRPr="002365CA">
        <w:rPr>
          <w:i/>
          <w:iCs/>
          <w:lang w:val="en-US"/>
        </w:rPr>
        <w:t>List of Campaigns in NAVCO 1.3</w:t>
      </w:r>
      <w:r w:rsidRPr="002365CA">
        <w:rPr>
          <w:lang w:val="en-US"/>
        </w:rPr>
        <w:t>. Cambridge, MA: Harvard Dataverse.</w:t>
      </w:r>
    </w:p>
    <w:p w14:paraId="2D94966B" w14:textId="77777777" w:rsidR="002365CA" w:rsidRPr="002365CA" w:rsidRDefault="002365CA" w:rsidP="002365CA">
      <w:pPr>
        <w:widowControl w:val="0"/>
        <w:autoSpaceDE w:val="0"/>
        <w:autoSpaceDN w:val="0"/>
        <w:adjustRightInd w:val="0"/>
        <w:rPr>
          <w:lang w:val="en-US"/>
        </w:rPr>
      </w:pPr>
      <w:r w:rsidRPr="002365CA">
        <w:rPr>
          <w:lang w:val="en-US"/>
        </w:rPr>
        <w:t>Coppedge, Michael, John Gerring, Carl Henrik Knutsen, Staffan I. Lindberg, Jan Teorell, Nazifa Alizada, David Altman, et al. 2021. “V-Dem Dataset V11. 1.”</w:t>
      </w:r>
    </w:p>
    <w:p w14:paraId="385B49C8" w14:textId="77777777" w:rsidR="002365CA" w:rsidRPr="002365CA" w:rsidRDefault="002365CA" w:rsidP="002365CA">
      <w:pPr>
        <w:widowControl w:val="0"/>
        <w:autoSpaceDE w:val="0"/>
        <w:autoSpaceDN w:val="0"/>
        <w:adjustRightInd w:val="0"/>
        <w:rPr>
          <w:lang w:val="en-US"/>
        </w:rPr>
      </w:pPr>
      <w:r w:rsidRPr="002365CA">
        <w:rPr>
          <w:lang w:val="en-US"/>
        </w:rPr>
        <w:lastRenderedPageBreak/>
        <w:t>Gapminder. 2024. “GDP per Capita in Constant PPP Dollars (V30).” https://www.gapminder.org/data/documentation/gd001/.</w:t>
      </w:r>
    </w:p>
    <w:p w14:paraId="212A5F5D" w14:textId="77777777" w:rsidR="002365CA" w:rsidRPr="002365CA" w:rsidRDefault="002365CA" w:rsidP="002365CA">
      <w:pPr>
        <w:widowControl w:val="0"/>
        <w:autoSpaceDE w:val="0"/>
        <w:autoSpaceDN w:val="0"/>
        <w:adjustRightInd w:val="0"/>
        <w:rPr>
          <w:lang w:val="en-US"/>
        </w:rPr>
      </w:pPr>
      <w:r w:rsidRPr="002365CA">
        <w:rPr>
          <w:lang w:val="en-US"/>
        </w:rPr>
        <w:t>Goldstone, J. A., L.E. Grinin, V. Ustyuzhanin, and A. Korotaev. 2023. “Revolutionary Events of the 21st Century: A Preliminary Quantitative Analysis.” (4): 54–71. doi:https://doi.org/10.17976/jpps/2023.04.05.</w:t>
      </w:r>
    </w:p>
    <w:p w14:paraId="7199473A" w14:textId="77777777" w:rsidR="002365CA" w:rsidRPr="00771DEF" w:rsidRDefault="002365CA" w:rsidP="002365CA">
      <w:pPr>
        <w:widowControl w:val="0"/>
        <w:autoSpaceDE w:val="0"/>
        <w:autoSpaceDN w:val="0"/>
        <w:adjustRightInd w:val="0"/>
        <w:rPr>
          <w:lang w:val="en-US"/>
        </w:rPr>
      </w:pPr>
      <w:r w:rsidRPr="002365CA">
        <w:rPr>
          <w:lang w:val="en-US"/>
        </w:rPr>
        <w:t xml:space="preserve">Hegre, Håvard, and Nicholas Sambanis. </w:t>
      </w:r>
      <w:r w:rsidRPr="00771DEF">
        <w:rPr>
          <w:lang w:val="en-US"/>
        </w:rPr>
        <w:t xml:space="preserve">2006. “Sensitivity Analysis of Empirical Results on Civil War Onset.” </w:t>
      </w:r>
      <w:r w:rsidRPr="00771DEF">
        <w:rPr>
          <w:i/>
          <w:iCs/>
          <w:lang w:val="en-US"/>
        </w:rPr>
        <w:t>Journal of Conflict Resolution</w:t>
      </w:r>
      <w:r w:rsidRPr="00771DEF">
        <w:rPr>
          <w:lang w:val="en-US"/>
        </w:rPr>
        <w:t xml:space="preserve"> 50(4): 508–35. doi:10.1177/0022002706289303.</w:t>
      </w:r>
    </w:p>
    <w:p w14:paraId="204E711C" w14:textId="77777777" w:rsidR="002365CA" w:rsidRPr="00771DEF" w:rsidRDefault="002365CA" w:rsidP="002365CA">
      <w:pPr>
        <w:widowControl w:val="0"/>
        <w:autoSpaceDE w:val="0"/>
        <w:autoSpaceDN w:val="0"/>
        <w:adjustRightInd w:val="0"/>
        <w:rPr>
          <w:lang w:val="en-US"/>
        </w:rPr>
      </w:pPr>
      <w:r w:rsidRPr="00771DEF">
        <w:rPr>
          <w:lang w:val="en-US"/>
        </w:rPr>
        <w:t xml:space="preserve">King, Gary, James Honaker, Anne Joseph, and Kenneth Scheve. 2001. “Analyzing Incomplete Political Science Data: An Alternative Algorithm for Multiple Imputation.” </w:t>
      </w:r>
      <w:r w:rsidRPr="00771DEF">
        <w:rPr>
          <w:i/>
          <w:iCs/>
          <w:lang w:val="en-US"/>
        </w:rPr>
        <w:t>American Political Science Review</w:t>
      </w:r>
      <w:r w:rsidRPr="00771DEF">
        <w:rPr>
          <w:lang w:val="en-US"/>
        </w:rPr>
        <w:t xml:space="preserve"> 95(1): 49–69. doi:10.1017/S0003055401000235.</w:t>
      </w:r>
    </w:p>
    <w:p w14:paraId="7C560E5E" w14:textId="77777777" w:rsidR="002365CA" w:rsidRPr="00771DEF" w:rsidRDefault="002365CA" w:rsidP="002365CA">
      <w:pPr>
        <w:widowControl w:val="0"/>
        <w:autoSpaceDE w:val="0"/>
        <w:autoSpaceDN w:val="0"/>
        <w:adjustRightInd w:val="0"/>
        <w:rPr>
          <w:lang w:val="en-US"/>
        </w:rPr>
      </w:pPr>
      <w:r w:rsidRPr="00771DEF">
        <w:rPr>
          <w:lang w:val="en-US"/>
        </w:rPr>
        <w:t xml:space="preserve">Leyrat, Clémence, Shaun R Seaman, Ian R White, Ian Douglas, Liam Smeeth, Joseph Kim, Matthieu Resche-Rigon, James R Carpenter, and Elizabeth J Williamson. 2019. “Propensity Score Analysis with Partially Observed Covariates: How Should Multiple Imputation Be Used?” </w:t>
      </w:r>
      <w:r w:rsidRPr="00771DEF">
        <w:rPr>
          <w:i/>
          <w:iCs/>
          <w:lang w:val="en-US"/>
        </w:rPr>
        <w:t>Statistical Methods in Medical Research</w:t>
      </w:r>
      <w:r w:rsidRPr="00771DEF">
        <w:rPr>
          <w:lang w:val="en-US"/>
        </w:rPr>
        <w:t xml:space="preserve"> 28(1): 3–19. doi:10.1177/0962280217713032.</w:t>
      </w:r>
    </w:p>
    <w:p w14:paraId="0C722C21" w14:textId="77777777" w:rsidR="002365CA" w:rsidRPr="00771DEF" w:rsidRDefault="002365CA" w:rsidP="002365CA">
      <w:pPr>
        <w:widowControl w:val="0"/>
        <w:autoSpaceDE w:val="0"/>
        <w:autoSpaceDN w:val="0"/>
        <w:adjustRightInd w:val="0"/>
        <w:rPr>
          <w:lang w:val="en-US"/>
        </w:rPr>
      </w:pPr>
      <w:r w:rsidRPr="00771DEF">
        <w:rPr>
          <w:lang w:val="en-US"/>
        </w:rPr>
        <w:t>Marshall, Monty G., and Jaggers Keith. 2020. “Polity V Project: Political Regime Characteristics and Transitions 1800–2018.” https://www.systemicpeace.org/polityproject.html.</w:t>
      </w:r>
    </w:p>
    <w:p w14:paraId="1313AAC2" w14:textId="77777777" w:rsidR="002365CA" w:rsidRPr="00771DEF" w:rsidRDefault="002365CA" w:rsidP="002365CA">
      <w:pPr>
        <w:widowControl w:val="0"/>
        <w:autoSpaceDE w:val="0"/>
        <w:autoSpaceDN w:val="0"/>
        <w:adjustRightInd w:val="0"/>
        <w:rPr>
          <w:lang w:val="en-US"/>
        </w:rPr>
      </w:pPr>
      <w:r w:rsidRPr="00771DEF">
        <w:rPr>
          <w:lang w:val="en-US"/>
        </w:rPr>
        <w:t xml:space="preserve">O’Brien, Robert, and Hemant Ishwaran. 2019. “A Random Forests Quantile Classifier for Class Imbalanced Data.” </w:t>
      </w:r>
      <w:r w:rsidRPr="00771DEF">
        <w:rPr>
          <w:i/>
          <w:iCs/>
          <w:lang w:val="en-US"/>
        </w:rPr>
        <w:t>Pattern recognition</w:t>
      </w:r>
      <w:r w:rsidRPr="00771DEF">
        <w:rPr>
          <w:lang w:val="en-US"/>
        </w:rPr>
        <w:t xml:space="preserve"> 90: 232–49.</w:t>
      </w:r>
    </w:p>
    <w:p w14:paraId="748A93DD" w14:textId="77777777" w:rsidR="002365CA" w:rsidRPr="00771DEF" w:rsidRDefault="002365CA" w:rsidP="002365CA">
      <w:pPr>
        <w:widowControl w:val="0"/>
        <w:autoSpaceDE w:val="0"/>
        <w:autoSpaceDN w:val="0"/>
        <w:adjustRightInd w:val="0"/>
        <w:rPr>
          <w:lang w:val="en-US"/>
        </w:rPr>
      </w:pPr>
      <w:r w:rsidRPr="00771DEF">
        <w:rPr>
          <w:lang w:val="en-US"/>
        </w:rPr>
        <w:t>Our World in Data. 2024. “Oil Production per Capita.” https://ourworldindata.org/grapher/oil-prod-per-capita?time=1901..latest#sources-and-processing.</w:t>
      </w:r>
    </w:p>
    <w:p w14:paraId="035778C1" w14:textId="77777777" w:rsidR="002365CA" w:rsidRPr="00771DEF" w:rsidRDefault="002365CA" w:rsidP="002365CA">
      <w:pPr>
        <w:widowControl w:val="0"/>
        <w:autoSpaceDE w:val="0"/>
        <w:autoSpaceDN w:val="0"/>
        <w:adjustRightInd w:val="0"/>
        <w:rPr>
          <w:lang w:val="en-US"/>
        </w:rPr>
      </w:pPr>
      <w:r w:rsidRPr="00771DEF">
        <w:rPr>
          <w:lang w:val="en-US"/>
        </w:rPr>
        <w:t>Sala-i-Martin, X. 1997. “I Just Ran Two Million Regressions.” 87(2): 178–83. doi:10.3386/w6252.</w:t>
      </w:r>
    </w:p>
    <w:p w14:paraId="4DC03424" w14:textId="77777777" w:rsidR="002365CA" w:rsidRPr="00771DEF" w:rsidRDefault="002365CA" w:rsidP="002365CA">
      <w:pPr>
        <w:widowControl w:val="0"/>
        <w:autoSpaceDE w:val="0"/>
        <w:autoSpaceDN w:val="0"/>
        <w:adjustRightInd w:val="0"/>
        <w:rPr>
          <w:lang w:val="en-US"/>
        </w:rPr>
      </w:pPr>
      <w:r w:rsidRPr="00771DEF">
        <w:rPr>
          <w:lang w:val="en-US"/>
        </w:rPr>
        <w:t>The World Bank. 2023. “The World Bank Databank: World Development Indicators.” https://databank.worldbank.org/ (May 25, 2022).</w:t>
      </w:r>
    </w:p>
    <w:p w14:paraId="619D3379" w14:textId="77777777" w:rsidR="002365CA" w:rsidRPr="00771DEF" w:rsidRDefault="002365CA" w:rsidP="002365CA">
      <w:pPr>
        <w:widowControl w:val="0"/>
        <w:autoSpaceDE w:val="0"/>
        <w:autoSpaceDN w:val="0"/>
        <w:adjustRightInd w:val="0"/>
        <w:rPr>
          <w:lang w:val="en-US"/>
        </w:rPr>
      </w:pPr>
      <w:r w:rsidRPr="00771DEF">
        <w:rPr>
          <w:lang w:val="en-US"/>
        </w:rPr>
        <w:t xml:space="preserve">UNDP. 2022. “UNDP: Human Development Reports.” </w:t>
      </w:r>
      <w:r w:rsidRPr="00771DEF">
        <w:rPr>
          <w:i/>
          <w:iCs/>
          <w:lang w:val="en-US"/>
        </w:rPr>
        <w:t>UNDP</w:t>
      </w:r>
      <w:r w:rsidRPr="00771DEF">
        <w:rPr>
          <w:lang w:val="en-US"/>
        </w:rPr>
        <w:t>. http://hdr.undp.org/en/indicators/103006 (August 5, 2021).</w:t>
      </w:r>
    </w:p>
    <w:p w14:paraId="66CCA676" w14:textId="77777777" w:rsidR="002365CA" w:rsidRPr="00771DEF" w:rsidRDefault="002365CA" w:rsidP="002365CA">
      <w:pPr>
        <w:widowControl w:val="0"/>
        <w:autoSpaceDE w:val="0"/>
        <w:autoSpaceDN w:val="0"/>
        <w:adjustRightInd w:val="0"/>
        <w:rPr>
          <w:lang w:val="en-US"/>
        </w:rPr>
      </w:pPr>
      <w:r w:rsidRPr="00771DEF">
        <w:rPr>
          <w:lang w:val="en-US"/>
        </w:rPr>
        <w:t>United Nations. 2022. “World Population Prospects.” https://population.un.org/wpp.</w:t>
      </w:r>
    </w:p>
    <w:p w14:paraId="541AE039" w14:textId="77777777" w:rsidR="002365CA" w:rsidRPr="002365CA" w:rsidRDefault="002365CA" w:rsidP="002365CA">
      <w:pPr>
        <w:widowControl w:val="0"/>
        <w:autoSpaceDE w:val="0"/>
        <w:autoSpaceDN w:val="0"/>
        <w:adjustRightInd w:val="0"/>
      </w:pPr>
      <w:r w:rsidRPr="00771DEF">
        <w:rPr>
          <w:lang w:val="en-US"/>
        </w:rPr>
        <w:t xml:space="preserve">Vogt, Manuel, Nils-Christian Bormann, Seraina Rüegger, Lars-Erik Cederman, Philipp Hunziker, and Luc Girardin. 2015. “Integrating Data on Ethnicity, Geography, and Conflict: The Ethnic Power Relations Data Set Family.” </w:t>
      </w:r>
      <w:r w:rsidRPr="002365CA">
        <w:rPr>
          <w:i/>
          <w:iCs/>
        </w:rPr>
        <w:t>Journal of Conflict Resolution</w:t>
      </w:r>
      <w:r w:rsidRPr="002365CA">
        <w:t xml:space="preserve"> 59(7): 1327–42.</w:t>
      </w:r>
    </w:p>
    <w:p w14:paraId="7DD8E714" w14:textId="098B4355" w:rsidR="002A6EE8" w:rsidRPr="002A6EE8" w:rsidRDefault="00C745C8" w:rsidP="00A07AE1">
      <w:pPr>
        <w:rPr>
          <w:lang w:val="en-US"/>
        </w:rPr>
      </w:pPr>
      <w:r>
        <w:rPr>
          <w:lang w:val="en-US"/>
        </w:rPr>
        <w:fldChar w:fldCharType="end"/>
      </w:r>
    </w:p>
    <w:sectPr w:rsidR="002A6EE8" w:rsidRPr="002A6E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92FF4" w14:textId="77777777" w:rsidR="003B6574" w:rsidRDefault="003B6574" w:rsidP="003C5188">
      <w:pPr>
        <w:spacing w:line="240" w:lineRule="auto"/>
      </w:pPr>
      <w:r>
        <w:separator/>
      </w:r>
    </w:p>
  </w:endnote>
  <w:endnote w:type="continuationSeparator" w:id="0">
    <w:p w14:paraId="41B28B5A" w14:textId="77777777" w:rsidR="003B6574" w:rsidRDefault="003B6574" w:rsidP="003C5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A6068" w14:textId="77777777" w:rsidR="003B6574" w:rsidRDefault="003B6574" w:rsidP="003C5188">
      <w:pPr>
        <w:spacing w:line="240" w:lineRule="auto"/>
      </w:pPr>
      <w:r>
        <w:separator/>
      </w:r>
    </w:p>
  </w:footnote>
  <w:footnote w:type="continuationSeparator" w:id="0">
    <w:p w14:paraId="4ABAD0BB" w14:textId="77777777" w:rsidR="003B6574" w:rsidRDefault="003B6574" w:rsidP="003C5188">
      <w:pPr>
        <w:spacing w:line="240" w:lineRule="auto"/>
      </w:pPr>
      <w:r>
        <w:continuationSeparator/>
      </w:r>
    </w:p>
  </w:footnote>
  <w:footnote w:id="1">
    <w:p w14:paraId="09287465" w14:textId="6C9CCC2A" w:rsidR="00875114" w:rsidRPr="00875114" w:rsidRDefault="00875114">
      <w:pPr>
        <w:pStyle w:val="ab"/>
        <w:rPr>
          <w:lang w:val="en-US"/>
        </w:rPr>
      </w:pPr>
      <w:r w:rsidRPr="005B3817">
        <w:rPr>
          <w:rStyle w:val="a7"/>
        </w:rPr>
        <w:footnoteRef/>
      </w:r>
      <w:r w:rsidRPr="00875114">
        <w:rPr>
          <w:lang w:val="en-US"/>
        </w:rPr>
        <w:t xml:space="preserve"> </w:t>
      </w:r>
      <w:r>
        <w:rPr>
          <w:lang w:val="en-US"/>
        </w:rPr>
        <w:t xml:space="preserve">The similar strategy is used, for example, with matching procedure that uses imputations </w:t>
      </w:r>
      <w:r>
        <w:rPr>
          <w:lang w:val="en-US"/>
        </w:rPr>
        <w:fldChar w:fldCharType="begin"/>
      </w:r>
      <w:r>
        <w:rPr>
          <w:lang w:val="en-US"/>
        </w:rPr>
        <w:instrText xml:space="preserve"> ADDIN ZOTERO_ITEM CSL_CITATION {"citationID":"ZuiUhBCX","properties":{"formattedCitation":"(Leyrat et al. 2019)","plainCitation":"(Leyrat et al. 2019)","noteIndex":1},"citationItems":[{"id":1917,"uris":["http://zotero.org/users/9380878/items/8L8QK4MB"],"itemData":{"id":1917,"type":"article-journal","abstract":"Inverse probability of treatment weighting is a popular propensity score-based approach to estimate marginal treatment effects in observational studies at risk of confounding bias. A major issue when estimating the propensity score is the presence of partially observed covariates. Multiple imputation is a natural approach to handle missing data on covariates: covariates are imputed and a propensity score analysis is performed in each imputed dataset to estimate the treatment effect. The treatment effect estimates from each imputed dataset are then combined to obtain an overall estimate. We call this method MIte. However, an alternative approach has been proposed, in which the propensity scores are combined across the imputed datasets (MIps). Therefore, there are remaining uncertainties about how to implement multiple imputation for propensity score analysis: (a) should we apply Rubin’s rules to the inverse probability of treatment weighting treatment effect estimates or to the propensity score estimates themselves? (b) does the outcome have to be included in the imputation model? (c) how should we estimate the variance of the inverse probability of treatment weighting estimator after multiple imputation? We studied the consistency and balancing properties of the MIte and MIps estimators and performed a simulation study to empirically assess their performance for the analysis of a binary outcome. We also compared the performance of these methods to complete case analysis and the missingness pattern approach, which uses a different propensity score model for each pattern of missingness, and a third multiple imputation approach in which the propensity score parameters are combined rather than the propensity scores themselves (MIpar). Under a missing at random mechanism, complete case and missingness pattern analyses were biased in most cases for estimating the marginal treatment effect, whereas multiple imputation approaches were approximately unbiased as long as the outcome was included in the imputation model. Only MIte was unbiased in all the studied scenarios and Rubin’s rules provided good variance estimates for MIte. The propensity score estimated in the MIte approach showed good balancing properties. In conclusion, when using multiple imputation in the inverse probability of treatment weighting context, MIte with the outcome included in the imputation model is the preferred approach.","container-title":"Statistical Methods in Medical Research","DOI":"10.1177/0962280217713032","ISSN":"0962-2802, 1477-0334","issue":"1","journalAbbreviation":"Stat Methods Med Res","language":"en","page":"3-19","source":"DOI.org (Crossref)","title":"Propensity score analysis with partially observed covariates: How should multiple imputation be used?","title-short":"Propensity score analysis with partially observed covariates","volume":"28","author":[{"family":"Leyrat","given":"Clémence"},{"family":"Seaman","given":"Shaun R"},{"family":"White","given":"Ian R"},{"family":"Douglas","given":"Ian"},{"family":"Smeeth","given":"Liam"},{"family":"Kim","given":"Joseph"},{"family":"Resche-Rigon","given":"Matthieu"},{"family":"Carpenter","given":"James R"},{"family":"Williamson","given":"Elizabeth J"}],"issued":{"date-parts":[["2019",1]]}}}],"schema":"https://github.com/citation-style-language/schema/raw/master/csl-citation.json"} </w:instrText>
      </w:r>
      <w:r>
        <w:rPr>
          <w:lang w:val="en-US"/>
        </w:rPr>
        <w:fldChar w:fldCharType="separate"/>
      </w:r>
      <w:r>
        <w:rPr>
          <w:noProof/>
          <w:lang w:val="en-US"/>
        </w:rPr>
        <w:t>(Leyrat et al. 2019)</w:t>
      </w:r>
      <w:r>
        <w:rPr>
          <w:lang w:val="en-US"/>
        </w:rPr>
        <w:fldChar w:fldCharType="end"/>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E1B9E"/>
    <w:multiLevelType w:val="hybridMultilevel"/>
    <w:tmpl w:val="FDECD7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A6A3CC0"/>
    <w:multiLevelType w:val="hybridMultilevel"/>
    <w:tmpl w:val="C7709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42844399">
    <w:abstractNumId w:val="0"/>
  </w:num>
  <w:num w:numId="2" w16cid:durableId="1628504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AA"/>
    <w:rsid w:val="000223CD"/>
    <w:rsid w:val="00024763"/>
    <w:rsid w:val="00027FC4"/>
    <w:rsid w:val="00046C10"/>
    <w:rsid w:val="00052C27"/>
    <w:rsid w:val="00053B65"/>
    <w:rsid w:val="00054BA8"/>
    <w:rsid w:val="00070CED"/>
    <w:rsid w:val="00073A14"/>
    <w:rsid w:val="00074AA5"/>
    <w:rsid w:val="00077F1C"/>
    <w:rsid w:val="00077FBF"/>
    <w:rsid w:val="000811CC"/>
    <w:rsid w:val="000826D9"/>
    <w:rsid w:val="000A2259"/>
    <w:rsid w:val="000A53D1"/>
    <w:rsid w:val="000A72A2"/>
    <w:rsid w:val="000C0FCA"/>
    <w:rsid w:val="000C68FC"/>
    <w:rsid w:val="000D109F"/>
    <w:rsid w:val="000D37F7"/>
    <w:rsid w:val="000D412B"/>
    <w:rsid w:val="000E18FB"/>
    <w:rsid w:val="00117F0E"/>
    <w:rsid w:val="00122E85"/>
    <w:rsid w:val="00133B04"/>
    <w:rsid w:val="00137F4A"/>
    <w:rsid w:val="001500E8"/>
    <w:rsid w:val="001512E6"/>
    <w:rsid w:val="00151651"/>
    <w:rsid w:val="00152CE3"/>
    <w:rsid w:val="00162058"/>
    <w:rsid w:val="0016302C"/>
    <w:rsid w:val="001674BC"/>
    <w:rsid w:val="001916C7"/>
    <w:rsid w:val="0019269A"/>
    <w:rsid w:val="0019439D"/>
    <w:rsid w:val="001952E6"/>
    <w:rsid w:val="001B3BFC"/>
    <w:rsid w:val="001C3A08"/>
    <w:rsid w:val="001C438F"/>
    <w:rsid w:val="001E2384"/>
    <w:rsid w:val="001E4003"/>
    <w:rsid w:val="00217FE4"/>
    <w:rsid w:val="002330BD"/>
    <w:rsid w:val="00235A50"/>
    <w:rsid w:val="002365CA"/>
    <w:rsid w:val="00240C91"/>
    <w:rsid w:val="002414E0"/>
    <w:rsid w:val="00247ADA"/>
    <w:rsid w:val="00295C55"/>
    <w:rsid w:val="002966BF"/>
    <w:rsid w:val="002A664D"/>
    <w:rsid w:val="002A6EE8"/>
    <w:rsid w:val="002B0AF0"/>
    <w:rsid w:val="002B6432"/>
    <w:rsid w:val="002B7D42"/>
    <w:rsid w:val="002C4EB9"/>
    <w:rsid w:val="002C5A67"/>
    <w:rsid w:val="002C788D"/>
    <w:rsid w:val="002E0AAF"/>
    <w:rsid w:val="002E2956"/>
    <w:rsid w:val="002F19DB"/>
    <w:rsid w:val="002F4000"/>
    <w:rsid w:val="00307C78"/>
    <w:rsid w:val="0032628F"/>
    <w:rsid w:val="0034614E"/>
    <w:rsid w:val="00362587"/>
    <w:rsid w:val="003833A6"/>
    <w:rsid w:val="003857B6"/>
    <w:rsid w:val="00392D5F"/>
    <w:rsid w:val="003A50BF"/>
    <w:rsid w:val="003B2643"/>
    <w:rsid w:val="003B5ED1"/>
    <w:rsid w:val="003B6574"/>
    <w:rsid w:val="003C0383"/>
    <w:rsid w:val="003C5188"/>
    <w:rsid w:val="003D1EB0"/>
    <w:rsid w:val="003D5A6B"/>
    <w:rsid w:val="003D5F15"/>
    <w:rsid w:val="003E24CF"/>
    <w:rsid w:val="003E2A48"/>
    <w:rsid w:val="003F12AD"/>
    <w:rsid w:val="0043249F"/>
    <w:rsid w:val="00433127"/>
    <w:rsid w:val="00435073"/>
    <w:rsid w:val="004351D7"/>
    <w:rsid w:val="004368F7"/>
    <w:rsid w:val="004411E1"/>
    <w:rsid w:val="00445DC4"/>
    <w:rsid w:val="00452038"/>
    <w:rsid w:val="0046026A"/>
    <w:rsid w:val="00464C0C"/>
    <w:rsid w:val="00466DB4"/>
    <w:rsid w:val="0047686B"/>
    <w:rsid w:val="00480526"/>
    <w:rsid w:val="00481BB8"/>
    <w:rsid w:val="004937F7"/>
    <w:rsid w:val="00495CC6"/>
    <w:rsid w:val="004A1211"/>
    <w:rsid w:val="004A2518"/>
    <w:rsid w:val="004C27DD"/>
    <w:rsid w:val="004C39E9"/>
    <w:rsid w:val="004C77DB"/>
    <w:rsid w:val="00507430"/>
    <w:rsid w:val="00512387"/>
    <w:rsid w:val="00512C59"/>
    <w:rsid w:val="00515014"/>
    <w:rsid w:val="00516762"/>
    <w:rsid w:val="00523417"/>
    <w:rsid w:val="005406AD"/>
    <w:rsid w:val="00552A6A"/>
    <w:rsid w:val="005607AE"/>
    <w:rsid w:val="0056335E"/>
    <w:rsid w:val="00574471"/>
    <w:rsid w:val="005748A4"/>
    <w:rsid w:val="00584360"/>
    <w:rsid w:val="00585291"/>
    <w:rsid w:val="00585A85"/>
    <w:rsid w:val="005916E6"/>
    <w:rsid w:val="00596645"/>
    <w:rsid w:val="005A576F"/>
    <w:rsid w:val="005A5CAA"/>
    <w:rsid w:val="005A7893"/>
    <w:rsid w:val="005B3817"/>
    <w:rsid w:val="005B401F"/>
    <w:rsid w:val="005B6E03"/>
    <w:rsid w:val="005C7F04"/>
    <w:rsid w:val="005F5858"/>
    <w:rsid w:val="005F6227"/>
    <w:rsid w:val="006041DA"/>
    <w:rsid w:val="006223BD"/>
    <w:rsid w:val="00625681"/>
    <w:rsid w:val="006332A9"/>
    <w:rsid w:val="00642C98"/>
    <w:rsid w:val="00645AB9"/>
    <w:rsid w:val="006737E3"/>
    <w:rsid w:val="00674FC3"/>
    <w:rsid w:val="006775F2"/>
    <w:rsid w:val="006875D5"/>
    <w:rsid w:val="00694C46"/>
    <w:rsid w:val="006D3A37"/>
    <w:rsid w:val="006E1627"/>
    <w:rsid w:val="006E5A02"/>
    <w:rsid w:val="006F7214"/>
    <w:rsid w:val="00703C27"/>
    <w:rsid w:val="007050C4"/>
    <w:rsid w:val="00721916"/>
    <w:rsid w:val="00726AD8"/>
    <w:rsid w:val="007469B1"/>
    <w:rsid w:val="00754B49"/>
    <w:rsid w:val="00757469"/>
    <w:rsid w:val="00771DEF"/>
    <w:rsid w:val="00784552"/>
    <w:rsid w:val="007904AF"/>
    <w:rsid w:val="0079067F"/>
    <w:rsid w:val="00794145"/>
    <w:rsid w:val="007C0A65"/>
    <w:rsid w:val="007C43AF"/>
    <w:rsid w:val="007E016F"/>
    <w:rsid w:val="007E2076"/>
    <w:rsid w:val="007E2808"/>
    <w:rsid w:val="007E43D1"/>
    <w:rsid w:val="007F4F3C"/>
    <w:rsid w:val="0080049A"/>
    <w:rsid w:val="0080707E"/>
    <w:rsid w:val="00812A5D"/>
    <w:rsid w:val="008145C1"/>
    <w:rsid w:val="008473FF"/>
    <w:rsid w:val="0085366B"/>
    <w:rsid w:val="008560E1"/>
    <w:rsid w:val="0085700F"/>
    <w:rsid w:val="0086095A"/>
    <w:rsid w:val="00866155"/>
    <w:rsid w:val="00875114"/>
    <w:rsid w:val="00875D05"/>
    <w:rsid w:val="00875E3F"/>
    <w:rsid w:val="00876EA1"/>
    <w:rsid w:val="00887B03"/>
    <w:rsid w:val="008A14EE"/>
    <w:rsid w:val="008C230B"/>
    <w:rsid w:val="008D3FB9"/>
    <w:rsid w:val="008F41CC"/>
    <w:rsid w:val="009077FD"/>
    <w:rsid w:val="00910460"/>
    <w:rsid w:val="00950E6C"/>
    <w:rsid w:val="00957101"/>
    <w:rsid w:val="00971F08"/>
    <w:rsid w:val="00974239"/>
    <w:rsid w:val="00983DBC"/>
    <w:rsid w:val="00985F78"/>
    <w:rsid w:val="00994EF5"/>
    <w:rsid w:val="009A044A"/>
    <w:rsid w:val="009B3317"/>
    <w:rsid w:val="009C0FBE"/>
    <w:rsid w:val="009C0FF5"/>
    <w:rsid w:val="009D2BE8"/>
    <w:rsid w:val="009D36CD"/>
    <w:rsid w:val="009D3E56"/>
    <w:rsid w:val="009D4D3B"/>
    <w:rsid w:val="009E2A5E"/>
    <w:rsid w:val="009E7126"/>
    <w:rsid w:val="009F0374"/>
    <w:rsid w:val="00A00CC8"/>
    <w:rsid w:val="00A056F8"/>
    <w:rsid w:val="00A075AA"/>
    <w:rsid w:val="00A07AE1"/>
    <w:rsid w:val="00A24A7F"/>
    <w:rsid w:val="00A35628"/>
    <w:rsid w:val="00A44EAD"/>
    <w:rsid w:val="00A62786"/>
    <w:rsid w:val="00A65FFE"/>
    <w:rsid w:val="00A7614B"/>
    <w:rsid w:val="00A86688"/>
    <w:rsid w:val="00A86FF1"/>
    <w:rsid w:val="00A96655"/>
    <w:rsid w:val="00AA2DB6"/>
    <w:rsid w:val="00AC21F0"/>
    <w:rsid w:val="00AD4083"/>
    <w:rsid w:val="00AD5771"/>
    <w:rsid w:val="00AD6621"/>
    <w:rsid w:val="00AF0D68"/>
    <w:rsid w:val="00B00F8E"/>
    <w:rsid w:val="00B068E7"/>
    <w:rsid w:val="00B2075F"/>
    <w:rsid w:val="00B2488D"/>
    <w:rsid w:val="00B3286F"/>
    <w:rsid w:val="00B56094"/>
    <w:rsid w:val="00B7043D"/>
    <w:rsid w:val="00B712A3"/>
    <w:rsid w:val="00B73502"/>
    <w:rsid w:val="00B76052"/>
    <w:rsid w:val="00B81F9A"/>
    <w:rsid w:val="00B92976"/>
    <w:rsid w:val="00B92AD5"/>
    <w:rsid w:val="00B92DD7"/>
    <w:rsid w:val="00BB018D"/>
    <w:rsid w:val="00BD118B"/>
    <w:rsid w:val="00BD5335"/>
    <w:rsid w:val="00C325CD"/>
    <w:rsid w:val="00C33C29"/>
    <w:rsid w:val="00C40D28"/>
    <w:rsid w:val="00C41A76"/>
    <w:rsid w:val="00C47C9B"/>
    <w:rsid w:val="00C51307"/>
    <w:rsid w:val="00C569FA"/>
    <w:rsid w:val="00C56D9E"/>
    <w:rsid w:val="00C654DF"/>
    <w:rsid w:val="00C745C8"/>
    <w:rsid w:val="00C831F8"/>
    <w:rsid w:val="00C861D2"/>
    <w:rsid w:val="00CA2E8D"/>
    <w:rsid w:val="00CD4D5A"/>
    <w:rsid w:val="00CE25EC"/>
    <w:rsid w:val="00CE7483"/>
    <w:rsid w:val="00CF15CD"/>
    <w:rsid w:val="00CF627D"/>
    <w:rsid w:val="00D0342E"/>
    <w:rsid w:val="00D32F49"/>
    <w:rsid w:val="00D33982"/>
    <w:rsid w:val="00D34346"/>
    <w:rsid w:val="00D356DF"/>
    <w:rsid w:val="00D40915"/>
    <w:rsid w:val="00D43558"/>
    <w:rsid w:val="00D436BF"/>
    <w:rsid w:val="00D4551A"/>
    <w:rsid w:val="00D468FA"/>
    <w:rsid w:val="00D51E2E"/>
    <w:rsid w:val="00D61D7E"/>
    <w:rsid w:val="00D63AC8"/>
    <w:rsid w:val="00D7687A"/>
    <w:rsid w:val="00D82243"/>
    <w:rsid w:val="00D87076"/>
    <w:rsid w:val="00D96461"/>
    <w:rsid w:val="00DA5C69"/>
    <w:rsid w:val="00DC65ED"/>
    <w:rsid w:val="00DD2C44"/>
    <w:rsid w:val="00DD42BA"/>
    <w:rsid w:val="00DE3E37"/>
    <w:rsid w:val="00DE533E"/>
    <w:rsid w:val="00DF2129"/>
    <w:rsid w:val="00E25DE2"/>
    <w:rsid w:val="00E33378"/>
    <w:rsid w:val="00E570E4"/>
    <w:rsid w:val="00E654A7"/>
    <w:rsid w:val="00E70076"/>
    <w:rsid w:val="00E80FAA"/>
    <w:rsid w:val="00E84453"/>
    <w:rsid w:val="00EA4166"/>
    <w:rsid w:val="00EB13FE"/>
    <w:rsid w:val="00EB1D7C"/>
    <w:rsid w:val="00EB3A40"/>
    <w:rsid w:val="00EB6211"/>
    <w:rsid w:val="00EB72B6"/>
    <w:rsid w:val="00EC71B1"/>
    <w:rsid w:val="00ED3B1B"/>
    <w:rsid w:val="00EF152F"/>
    <w:rsid w:val="00F03549"/>
    <w:rsid w:val="00F14318"/>
    <w:rsid w:val="00F158E3"/>
    <w:rsid w:val="00F2702C"/>
    <w:rsid w:val="00F3681C"/>
    <w:rsid w:val="00F730C3"/>
    <w:rsid w:val="00F76348"/>
    <w:rsid w:val="00F9164F"/>
    <w:rsid w:val="00F91AB5"/>
    <w:rsid w:val="00F95B5D"/>
    <w:rsid w:val="00FB2F76"/>
    <w:rsid w:val="00FC0A74"/>
    <w:rsid w:val="00FC2FAD"/>
    <w:rsid w:val="00FC3D32"/>
    <w:rsid w:val="00FD2206"/>
    <w:rsid w:val="00FD38A8"/>
    <w:rsid w:val="00FF1B18"/>
    <w:rsid w:val="00FF1F98"/>
    <w:rsid w:val="00FF26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FF1B"/>
  <w15:chartTrackingRefBased/>
  <w15:docId w15:val="{D625E768-BF10-4964-9CA2-F765B5E0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МОЙ"/>
    <w:qFormat/>
    <w:rsid w:val="00A07AE1"/>
    <w:pPr>
      <w:spacing w:after="0" w:line="360" w:lineRule="auto"/>
      <w:jc w:val="both"/>
    </w:pPr>
    <w:rPr>
      <w:rFonts w:ascii="Times New Roman" w:eastAsia="Times New Roman" w:hAnsi="Times New Roman" w:cs="Times New Roman"/>
      <w:sz w:val="24"/>
      <w:szCs w:val="24"/>
      <w:lang w:eastAsia="ru-RU"/>
    </w:rPr>
  </w:style>
  <w:style w:type="paragraph" w:styleId="1">
    <w:name w:val="heading 1"/>
    <w:aliases w:val="Заголовок вкр"/>
    <w:basedOn w:val="a"/>
    <w:next w:val="a"/>
    <w:link w:val="10"/>
    <w:autoRedefine/>
    <w:uiPriority w:val="9"/>
    <w:qFormat/>
    <w:rsid w:val="002E0AAF"/>
    <w:pPr>
      <w:keepNext/>
      <w:keepLines/>
      <w:spacing w:before="360" w:after="120" w:line="480" w:lineRule="auto"/>
      <w:contextualSpacing/>
      <w:outlineLvl w:val="0"/>
    </w:pPr>
    <w:rPr>
      <w:rFonts w:eastAsiaTheme="majorEastAsia" w:cstheme="majorBidi"/>
      <w:b/>
      <w:color w:val="000000" w:themeColor="text1"/>
      <w:sz w:val="28"/>
      <w:szCs w:val="32"/>
    </w:rPr>
  </w:style>
  <w:style w:type="paragraph" w:styleId="2">
    <w:name w:val="heading 2"/>
    <w:basedOn w:val="a"/>
    <w:next w:val="a"/>
    <w:link w:val="20"/>
    <w:uiPriority w:val="9"/>
    <w:semiHidden/>
    <w:unhideWhenUsed/>
    <w:qFormat/>
    <w:rsid w:val="009B33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B13FE"/>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подзаголовк 2"/>
    <w:basedOn w:val="3"/>
    <w:next w:val="a"/>
    <w:link w:val="a4"/>
    <w:autoRedefine/>
    <w:uiPriority w:val="10"/>
    <w:qFormat/>
    <w:rsid w:val="004351D7"/>
    <w:pPr>
      <w:spacing w:before="120" w:after="120"/>
      <w:ind w:firstLine="709"/>
      <w:contextualSpacing/>
    </w:pPr>
    <w:rPr>
      <w:rFonts w:ascii="Times New Roman" w:hAnsi="Times New Roman"/>
      <w:i/>
      <w:color w:val="auto"/>
      <w:spacing w:val="-10"/>
      <w:kern w:val="28"/>
      <w:szCs w:val="56"/>
    </w:rPr>
  </w:style>
  <w:style w:type="character" w:customStyle="1" w:styleId="a4">
    <w:name w:val="Заголовок Знак"/>
    <w:aliases w:val="подзаголовк 2 Знак"/>
    <w:basedOn w:val="a0"/>
    <w:link w:val="a3"/>
    <w:uiPriority w:val="10"/>
    <w:rsid w:val="004351D7"/>
    <w:rPr>
      <w:rFonts w:ascii="Times New Roman" w:eastAsiaTheme="majorEastAsia" w:hAnsi="Times New Roman" w:cstheme="majorBidi"/>
      <w:i/>
      <w:spacing w:val="-10"/>
      <w:kern w:val="28"/>
      <w:sz w:val="24"/>
      <w:szCs w:val="56"/>
    </w:rPr>
  </w:style>
  <w:style w:type="paragraph" w:styleId="a5">
    <w:name w:val="Subtitle"/>
    <w:aliases w:val="Подзаголовок вкр"/>
    <w:basedOn w:val="2"/>
    <w:next w:val="a"/>
    <w:link w:val="a6"/>
    <w:autoRedefine/>
    <w:uiPriority w:val="11"/>
    <w:qFormat/>
    <w:rsid w:val="00516762"/>
    <w:pPr>
      <w:numPr>
        <w:ilvl w:val="1"/>
      </w:numPr>
      <w:spacing w:before="160" w:after="120"/>
      <w:contextualSpacing/>
    </w:pPr>
    <w:rPr>
      <w:rFonts w:ascii="Times New Roman" w:hAnsi="Times New Roman"/>
      <w:b/>
      <w:i/>
      <w:color w:val="auto"/>
      <w:sz w:val="24"/>
    </w:rPr>
  </w:style>
  <w:style w:type="character" w:customStyle="1" w:styleId="a6">
    <w:name w:val="Подзаголовок Знак"/>
    <w:aliases w:val="Подзаголовок вкр Знак"/>
    <w:basedOn w:val="a0"/>
    <w:link w:val="a5"/>
    <w:uiPriority w:val="11"/>
    <w:rsid w:val="00516762"/>
    <w:rPr>
      <w:rFonts w:ascii="Times New Roman" w:eastAsiaTheme="majorEastAsia" w:hAnsi="Times New Roman" w:cstheme="majorBidi"/>
      <w:b/>
      <w:i/>
      <w:sz w:val="24"/>
      <w:szCs w:val="26"/>
    </w:rPr>
  </w:style>
  <w:style w:type="character" w:customStyle="1" w:styleId="10">
    <w:name w:val="Заголовок 1 Знак"/>
    <w:aliases w:val="Заголовок вкр Знак"/>
    <w:basedOn w:val="a0"/>
    <w:link w:val="1"/>
    <w:uiPriority w:val="9"/>
    <w:rsid w:val="002E0AA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semiHidden/>
    <w:rsid w:val="009B331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EB13FE"/>
    <w:rPr>
      <w:rFonts w:asciiTheme="majorHAnsi" w:eastAsiaTheme="majorEastAsia" w:hAnsiTheme="majorHAnsi" w:cstheme="majorBidi"/>
      <w:color w:val="1F3763" w:themeColor="accent1" w:themeShade="7F"/>
      <w:sz w:val="24"/>
      <w:szCs w:val="24"/>
    </w:rPr>
  </w:style>
  <w:style w:type="character" w:styleId="a7">
    <w:name w:val="footnote reference"/>
    <w:aliases w:val="Referencia nota al pie,Знак сноски 1,Знак сноски-FN,Ciae niinee-FN,Footnote Number,тест сноски,Ссылка на сноску 45,Footnote Reference Number,ftref,fr,Used by Word for Help footnote symbols,-E Fußnotenzeichen,Ciae niinee 1,SUPERS,ОР,Fussnota"/>
    <w:basedOn w:val="a0"/>
    <w:uiPriority w:val="99"/>
    <w:unhideWhenUsed/>
    <w:qFormat/>
    <w:rsid w:val="003C5188"/>
    <w:rPr>
      <w:vertAlign w:val="superscript"/>
    </w:rPr>
  </w:style>
  <w:style w:type="paragraph" w:styleId="a8">
    <w:name w:val="Bibliography"/>
    <w:basedOn w:val="a"/>
    <w:next w:val="a"/>
    <w:uiPriority w:val="37"/>
    <w:unhideWhenUsed/>
    <w:rsid w:val="002E0AAF"/>
    <w:pPr>
      <w:spacing w:line="480" w:lineRule="auto"/>
      <w:ind w:left="720" w:hanging="720"/>
    </w:pPr>
  </w:style>
  <w:style w:type="paragraph" w:styleId="a9">
    <w:name w:val="No Spacing"/>
    <w:uiPriority w:val="1"/>
    <w:qFormat/>
    <w:rsid w:val="00EF152F"/>
    <w:pPr>
      <w:spacing w:after="0" w:line="240" w:lineRule="auto"/>
      <w:jc w:val="both"/>
    </w:pPr>
    <w:rPr>
      <w:rFonts w:ascii="Times New Roman" w:hAnsi="Times New Roman"/>
      <w:sz w:val="24"/>
    </w:rPr>
  </w:style>
  <w:style w:type="paragraph" w:styleId="aa">
    <w:name w:val="List Paragraph"/>
    <w:basedOn w:val="a"/>
    <w:uiPriority w:val="34"/>
    <w:qFormat/>
    <w:rsid w:val="00EB1D7C"/>
    <w:pPr>
      <w:ind w:left="720"/>
      <w:contextualSpacing/>
    </w:pPr>
  </w:style>
  <w:style w:type="paragraph" w:styleId="ab">
    <w:name w:val="footnote text"/>
    <w:basedOn w:val="a"/>
    <w:link w:val="ac"/>
    <w:uiPriority w:val="99"/>
    <w:semiHidden/>
    <w:unhideWhenUsed/>
    <w:rsid w:val="00137F4A"/>
    <w:pPr>
      <w:spacing w:line="240" w:lineRule="auto"/>
    </w:pPr>
    <w:rPr>
      <w:sz w:val="20"/>
      <w:szCs w:val="20"/>
    </w:rPr>
  </w:style>
  <w:style w:type="character" w:customStyle="1" w:styleId="ac">
    <w:name w:val="Текст сноски Знак"/>
    <w:basedOn w:val="a0"/>
    <w:link w:val="ab"/>
    <w:uiPriority w:val="99"/>
    <w:semiHidden/>
    <w:rsid w:val="00137F4A"/>
    <w:rPr>
      <w:rFonts w:ascii="Times New Roman" w:hAnsi="Times New Roman"/>
      <w:sz w:val="20"/>
      <w:szCs w:val="20"/>
    </w:rPr>
  </w:style>
  <w:style w:type="paragraph" w:styleId="ad">
    <w:name w:val="header"/>
    <w:basedOn w:val="a"/>
    <w:link w:val="ae"/>
    <w:uiPriority w:val="99"/>
    <w:unhideWhenUsed/>
    <w:rsid w:val="0080049A"/>
    <w:pPr>
      <w:tabs>
        <w:tab w:val="center" w:pos="4677"/>
        <w:tab w:val="right" w:pos="9355"/>
      </w:tabs>
      <w:spacing w:line="240" w:lineRule="auto"/>
    </w:pPr>
  </w:style>
  <w:style w:type="character" w:customStyle="1" w:styleId="ae">
    <w:name w:val="Верхний колонтитул Знак"/>
    <w:basedOn w:val="a0"/>
    <w:link w:val="ad"/>
    <w:uiPriority w:val="99"/>
    <w:rsid w:val="0080049A"/>
    <w:rPr>
      <w:rFonts w:ascii="Times New Roman" w:hAnsi="Times New Roman"/>
      <w:sz w:val="24"/>
    </w:rPr>
  </w:style>
  <w:style w:type="paragraph" w:styleId="af">
    <w:name w:val="footer"/>
    <w:basedOn w:val="a"/>
    <w:link w:val="af0"/>
    <w:uiPriority w:val="99"/>
    <w:unhideWhenUsed/>
    <w:rsid w:val="0080049A"/>
    <w:pPr>
      <w:tabs>
        <w:tab w:val="center" w:pos="4677"/>
        <w:tab w:val="right" w:pos="9355"/>
      </w:tabs>
      <w:spacing w:line="240" w:lineRule="auto"/>
    </w:pPr>
  </w:style>
  <w:style w:type="character" w:customStyle="1" w:styleId="af0">
    <w:name w:val="Нижний колонтитул Знак"/>
    <w:basedOn w:val="a0"/>
    <w:link w:val="af"/>
    <w:uiPriority w:val="99"/>
    <w:rsid w:val="0080049A"/>
    <w:rPr>
      <w:rFonts w:ascii="Times New Roman" w:hAnsi="Times New Roman"/>
      <w:sz w:val="24"/>
    </w:rPr>
  </w:style>
  <w:style w:type="character" w:styleId="af1">
    <w:name w:val="endnote reference"/>
    <w:basedOn w:val="a0"/>
    <w:uiPriority w:val="99"/>
    <w:semiHidden/>
    <w:unhideWhenUsed/>
    <w:rsid w:val="008145C1"/>
    <w:rPr>
      <w:vertAlign w:val="superscript"/>
    </w:rPr>
  </w:style>
  <w:style w:type="character" w:styleId="af2">
    <w:name w:val="Hyperlink"/>
    <w:basedOn w:val="a0"/>
    <w:uiPriority w:val="99"/>
    <w:semiHidden/>
    <w:unhideWhenUsed/>
    <w:rsid w:val="00A44EAD"/>
    <w:rPr>
      <w:color w:val="0000FF"/>
      <w:u w:val="single"/>
    </w:rPr>
  </w:style>
  <w:style w:type="paragraph" w:styleId="af3">
    <w:name w:val="Normal (Web)"/>
    <w:basedOn w:val="a"/>
    <w:uiPriority w:val="99"/>
    <w:unhideWhenUsed/>
    <w:rsid w:val="001500E8"/>
    <w:pPr>
      <w:spacing w:before="100" w:beforeAutospacing="1" w:after="100" w:afterAutospacing="1" w:line="240" w:lineRule="auto"/>
      <w:jc w:val="left"/>
    </w:pPr>
  </w:style>
  <w:style w:type="paragraph" w:customStyle="1" w:styleId="11">
    <w:name w:val="Список литературы1"/>
    <w:basedOn w:val="a"/>
    <w:link w:val="Bibliography"/>
    <w:rsid w:val="009D3E56"/>
    <w:pPr>
      <w:spacing w:after="240" w:line="240" w:lineRule="auto"/>
      <w:ind w:left="720" w:hanging="720"/>
    </w:pPr>
    <w:rPr>
      <w:lang w:val="en-US"/>
    </w:rPr>
  </w:style>
  <w:style w:type="character" w:customStyle="1" w:styleId="Bibliography">
    <w:name w:val="Bibliography Знак"/>
    <w:basedOn w:val="a0"/>
    <w:link w:val="11"/>
    <w:rsid w:val="009D3E56"/>
    <w:rPr>
      <w:rFonts w:ascii="Times New Roman" w:hAnsi="Times New Roman"/>
      <w:sz w:val="24"/>
      <w:lang w:val="en-US"/>
    </w:rPr>
  </w:style>
  <w:style w:type="character" w:styleId="af4">
    <w:name w:val="Placeholder Text"/>
    <w:basedOn w:val="a0"/>
    <w:uiPriority w:val="99"/>
    <w:semiHidden/>
    <w:rsid w:val="00CE7483"/>
    <w:rPr>
      <w:color w:val="808080"/>
    </w:rPr>
  </w:style>
  <w:style w:type="table" w:styleId="af5">
    <w:name w:val="Table Grid"/>
    <w:basedOn w:val="a1"/>
    <w:uiPriority w:val="39"/>
    <w:rsid w:val="002E2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1625">
      <w:bodyDiv w:val="1"/>
      <w:marLeft w:val="0"/>
      <w:marRight w:val="0"/>
      <w:marTop w:val="0"/>
      <w:marBottom w:val="0"/>
      <w:divBdr>
        <w:top w:val="none" w:sz="0" w:space="0" w:color="auto"/>
        <w:left w:val="none" w:sz="0" w:space="0" w:color="auto"/>
        <w:bottom w:val="none" w:sz="0" w:space="0" w:color="auto"/>
        <w:right w:val="none" w:sz="0" w:space="0" w:color="auto"/>
      </w:divBdr>
    </w:div>
    <w:div w:id="419179456">
      <w:bodyDiv w:val="1"/>
      <w:marLeft w:val="0"/>
      <w:marRight w:val="0"/>
      <w:marTop w:val="0"/>
      <w:marBottom w:val="0"/>
      <w:divBdr>
        <w:top w:val="none" w:sz="0" w:space="0" w:color="auto"/>
        <w:left w:val="none" w:sz="0" w:space="0" w:color="auto"/>
        <w:bottom w:val="none" w:sz="0" w:space="0" w:color="auto"/>
        <w:right w:val="none" w:sz="0" w:space="0" w:color="auto"/>
      </w:divBdr>
    </w:div>
    <w:div w:id="548955149">
      <w:bodyDiv w:val="1"/>
      <w:marLeft w:val="0"/>
      <w:marRight w:val="0"/>
      <w:marTop w:val="0"/>
      <w:marBottom w:val="0"/>
      <w:divBdr>
        <w:top w:val="none" w:sz="0" w:space="0" w:color="auto"/>
        <w:left w:val="none" w:sz="0" w:space="0" w:color="auto"/>
        <w:bottom w:val="none" w:sz="0" w:space="0" w:color="auto"/>
        <w:right w:val="none" w:sz="0" w:space="0" w:color="auto"/>
      </w:divBdr>
    </w:div>
    <w:div w:id="639531965">
      <w:bodyDiv w:val="1"/>
      <w:marLeft w:val="0"/>
      <w:marRight w:val="0"/>
      <w:marTop w:val="0"/>
      <w:marBottom w:val="0"/>
      <w:divBdr>
        <w:top w:val="none" w:sz="0" w:space="0" w:color="auto"/>
        <w:left w:val="none" w:sz="0" w:space="0" w:color="auto"/>
        <w:bottom w:val="none" w:sz="0" w:space="0" w:color="auto"/>
        <w:right w:val="none" w:sz="0" w:space="0" w:color="auto"/>
      </w:divBdr>
    </w:div>
    <w:div w:id="769083333">
      <w:bodyDiv w:val="1"/>
      <w:marLeft w:val="0"/>
      <w:marRight w:val="0"/>
      <w:marTop w:val="0"/>
      <w:marBottom w:val="0"/>
      <w:divBdr>
        <w:top w:val="none" w:sz="0" w:space="0" w:color="auto"/>
        <w:left w:val="none" w:sz="0" w:space="0" w:color="auto"/>
        <w:bottom w:val="none" w:sz="0" w:space="0" w:color="auto"/>
        <w:right w:val="none" w:sz="0" w:space="0" w:color="auto"/>
      </w:divBdr>
    </w:div>
    <w:div w:id="868761650">
      <w:bodyDiv w:val="1"/>
      <w:marLeft w:val="0"/>
      <w:marRight w:val="0"/>
      <w:marTop w:val="0"/>
      <w:marBottom w:val="0"/>
      <w:divBdr>
        <w:top w:val="none" w:sz="0" w:space="0" w:color="auto"/>
        <w:left w:val="none" w:sz="0" w:space="0" w:color="auto"/>
        <w:bottom w:val="none" w:sz="0" w:space="0" w:color="auto"/>
        <w:right w:val="none" w:sz="0" w:space="0" w:color="auto"/>
      </w:divBdr>
    </w:div>
    <w:div w:id="1051854016">
      <w:bodyDiv w:val="1"/>
      <w:marLeft w:val="0"/>
      <w:marRight w:val="0"/>
      <w:marTop w:val="0"/>
      <w:marBottom w:val="0"/>
      <w:divBdr>
        <w:top w:val="none" w:sz="0" w:space="0" w:color="auto"/>
        <w:left w:val="none" w:sz="0" w:space="0" w:color="auto"/>
        <w:bottom w:val="none" w:sz="0" w:space="0" w:color="auto"/>
        <w:right w:val="none" w:sz="0" w:space="0" w:color="auto"/>
      </w:divBdr>
    </w:div>
    <w:div w:id="1394812377">
      <w:bodyDiv w:val="1"/>
      <w:marLeft w:val="0"/>
      <w:marRight w:val="0"/>
      <w:marTop w:val="0"/>
      <w:marBottom w:val="0"/>
      <w:divBdr>
        <w:top w:val="none" w:sz="0" w:space="0" w:color="auto"/>
        <w:left w:val="none" w:sz="0" w:space="0" w:color="auto"/>
        <w:bottom w:val="none" w:sz="0" w:space="0" w:color="auto"/>
        <w:right w:val="none" w:sz="0" w:space="0" w:color="auto"/>
      </w:divBdr>
      <w:divsChild>
        <w:div w:id="533035749">
          <w:marLeft w:val="0"/>
          <w:marRight w:val="0"/>
          <w:marTop w:val="0"/>
          <w:marBottom w:val="0"/>
          <w:divBdr>
            <w:top w:val="none" w:sz="0" w:space="0" w:color="auto"/>
            <w:left w:val="none" w:sz="0" w:space="0" w:color="auto"/>
            <w:bottom w:val="none" w:sz="0" w:space="0" w:color="auto"/>
            <w:right w:val="none" w:sz="0" w:space="0" w:color="auto"/>
          </w:divBdr>
          <w:divsChild>
            <w:div w:id="396246234">
              <w:marLeft w:val="0"/>
              <w:marRight w:val="0"/>
              <w:marTop w:val="0"/>
              <w:marBottom w:val="0"/>
              <w:divBdr>
                <w:top w:val="none" w:sz="0" w:space="0" w:color="auto"/>
                <w:left w:val="none" w:sz="0" w:space="0" w:color="auto"/>
                <w:bottom w:val="none" w:sz="0" w:space="0" w:color="auto"/>
                <w:right w:val="none" w:sz="0" w:space="0" w:color="auto"/>
              </w:divBdr>
              <w:divsChild>
                <w:div w:id="8903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6550">
      <w:bodyDiv w:val="1"/>
      <w:marLeft w:val="0"/>
      <w:marRight w:val="0"/>
      <w:marTop w:val="0"/>
      <w:marBottom w:val="0"/>
      <w:divBdr>
        <w:top w:val="none" w:sz="0" w:space="0" w:color="auto"/>
        <w:left w:val="none" w:sz="0" w:space="0" w:color="auto"/>
        <w:bottom w:val="none" w:sz="0" w:space="0" w:color="auto"/>
        <w:right w:val="none" w:sz="0" w:space="0" w:color="auto"/>
      </w:divBdr>
    </w:div>
    <w:div w:id="17829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1F54B-4C1E-4902-8C60-3C158AFDC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3904</Words>
  <Characters>22254</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Устюжанин Вадим</dc:creator>
  <cp:keywords/>
  <dc:description/>
  <cp:lastModifiedBy>Устюжанин Вадим</cp:lastModifiedBy>
  <cp:revision>73</cp:revision>
  <dcterms:created xsi:type="dcterms:W3CDTF">2024-04-09T15:18:00Z</dcterms:created>
  <dcterms:modified xsi:type="dcterms:W3CDTF">2024-05-19T14:50:00Z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id="IiwU8eVz"/&gt;&lt;style id="http://www.zotero.org/styles/american-political-science-association" locale="en-US" hasBibliography="1" bibliographyStyleHasBeenSet="1"/&gt;&lt;prefs&gt;&lt;pref name="fieldType" value=</vt:lpwstr>
  </property>
  <property fmtid="{D5CDD505-2E9C-101B-9397-08002B2CF9AE}" pid="3" name="ZOTERO_PREF_2">
    <vt:lpwstr>"Field"/&gt;&lt;/prefs&gt;&lt;/data&gt;</vt:lpwstr>
  </property>
</Properties>
</file>