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9B2C" w14:textId="031AC71F" w:rsidR="002B0AF0" w:rsidRDefault="00C325CD" w:rsidP="002E0AAF">
      <w:pPr>
        <w:pStyle w:val="1"/>
        <w:rPr>
          <w:lang w:val="en-US"/>
        </w:rPr>
      </w:pPr>
      <w:r>
        <w:rPr>
          <w:lang w:val="en-US"/>
        </w:rPr>
        <w:t xml:space="preserve">Appendix – </w:t>
      </w:r>
      <w:r w:rsidR="00347FD0">
        <w:rPr>
          <w:lang w:val="en-US"/>
        </w:rPr>
        <w:t>Matching procedure</w:t>
      </w:r>
    </w:p>
    <w:p w14:paraId="6847D98A" w14:textId="66088335" w:rsidR="00C745C8" w:rsidRPr="00C745C8" w:rsidRDefault="00C745C8" w:rsidP="00CE7483">
      <w:pPr>
        <w:rPr>
          <w:i/>
          <w:iCs/>
          <w:lang w:val="en-US"/>
        </w:rPr>
      </w:pPr>
      <w:r w:rsidRPr="00C745C8">
        <w:rPr>
          <w:i/>
          <w:iCs/>
          <w:lang w:val="en-US"/>
        </w:rPr>
        <w:t>Procedure</w:t>
      </w:r>
    </w:p>
    <w:p w14:paraId="69048F6B" w14:textId="6032B76A" w:rsidR="003B2697" w:rsidRDefault="003B2697" w:rsidP="00F158E3">
      <w:pPr>
        <w:rPr>
          <w:lang w:val="en-US"/>
        </w:rPr>
      </w:pPr>
      <w:r w:rsidRPr="003B2697">
        <w:rPr>
          <w:lang w:val="en-US"/>
        </w:rPr>
        <w:t>The matching procedure is designed to balance observations of the "treated" and "control" groups in order to avoid model dependencies issues. In this paper, I utilize this technique to create a balanced case-control sample</w:t>
      </w:r>
      <w:r w:rsidR="00820811">
        <w:rPr>
          <w:lang w:val="en-US"/>
        </w:rPr>
        <w:t xml:space="preserve"> (</w:t>
      </w:r>
      <w:r w:rsidRPr="003B2697">
        <w:rPr>
          <w:lang w:val="en-US"/>
        </w:rPr>
        <w:t>where the "case" is revolution</w:t>
      </w:r>
      <w:r w:rsidR="00820811">
        <w:rPr>
          <w:lang w:val="en-US"/>
        </w:rPr>
        <w:t xml:space="preserve">) </w:t>
      </w:r>
      <w:r w:rsidRPr="003B2697">
        <w:rPr>
          <w:lang w:val="en-US"/>
        </w:rPr>
        <w:t>and to address the "rare-events" problem by reducing the number of nonevents in the original dataset</w:t>
      </w:r>
      <w:r w:rsidR="004A1BB5">
        <w:rPr>
          <w:lang w:val="en-US"/>
        </w:rPr>
        <w:t xml:space="preserve"> and isolating the effect of income level from other covariates</w:t>
      </w:r>
      <w:r w:rsidRPr="003B2697">
        <w:rPr>
          <w:lang w:val="en-US"/>
        </w:rPr>
        <w:t xml:space="preserve">. </w:t>
      </w:r>
    </w:p>
    <w:p w14:paraId="58DC0EBB" w14:textId="0746C6EC" w:rsidR="00070C71" w:rsidRPr="00070C71" w:rsidRDefault="009432A8" w:rsidP="00146ACE">
      <w:pPr>
        <w:rPr>
          <w:lang w:val="en-US"/>
        </w:rPr>
      </w:pPr>
      <w:r>
        <w:rPr>
          <w:lang w:val="en-US"/>
        </w:rPr>
        <w:t xml:space="preserve">As matching is not parametric method, it is advised to use </w:t>
      </w:r>
      <w:r w:rsidR="003B2697">
        <w:rPr>
          <w:lang w:val="en-US"/>
        </w:rPr>
        <w:t>several</w:t>
      </w:r>
      <w:r>
        <w:rPr>
          <w:lang w:val="en-US"/>
        </w:rPr>
        <w:t xml:space="preserve"> techniques for getting balanced sample. I use </w:t>
      </w:r>
      <w:r w:rsidR="0057104A">
        <w:rPr>
          <w:lang w:val="en-US"/>
        </w:rPr>
        <w:t>two</w:t>
      </w:r>
      <w:r>
        <w:rPr>
          <w:lang w:val="en-US"/>
        </w:rPr>
        <w:t xml:space="preserve"> different approaches: (1) </w:t>
      </w:r>
      <w:r w:rsidRPr="009432A8">
        <w:rPr>
          <w:lang w:val="en-US"/>
        </w:rPr>
        <w:t>nearest neighbor matching</w:t>
      </w:r>
      <w:r>
        <w:rPr>
          <w:lang w:val="en-US"/>
        </w:rPr>
        <w:t xml:space="preserve"> with </w:t>
      </w:r>
      <w:r w:rsidRPr="009432A8">
        <w:rPr>
          <w:lang w:val="en-US"/>
        </w:rPr>
        <w:t xml:space="preserve">robust rank-based </w:t>
      </w:r>
      <w:proofErr w:type="spellStart"/>
      <w:r w:rsidRPr="009432A8">
        <w:rPr>
          <w:lang w:val="en-US"/>
        </w:rPr>
        <w:t>Mahalanobis</w:t>
      </w:r>
      <w:proofErr w:type="spellEnd"/>
      <w:r w:rsidRPr="009432A8">
        <w:rPr>
          <w:lang w:val="en-US"/>
        </w:rPr>
        <w:t xml:space="preserve"> distance</w:t>
      </w:r>
      <w:r w:rsidR="00DA165B">
        <w:rPr>
          <w:lang w:val="en-US"/>
        </w:rPr>
        <w:t>; (</w:t>
      </w:r>
      <w:r w:rsidR="0057104A">
        <w:rPr>
          <w:lang w:val="en-US"/>
        </w:rPr>
        <w:t>2</w:t>
      </w:r>
      <w:r w:rsidR="00DA165B">
        <w:rPr>
          <w:lang w:val="en-US"/>
        </w:rPr>
        <w:t xml:space="preserve">) optimal matching with </w:t>
      </w:r>
      <w:r w:rsidR="00DA165B" w:rsidRPr="009432A8">
        <w:rPr>
          <w:lang w:val="en-US"/>
        </w:rPr>
        <w:t xml:space="preserve">robust rank-based </w:t>
      </w:r>
      <w:proofErr w:type="spellStart"/>
      <w:r w:rsidR="00DA165B" w:rsidRPr="009432A8">
        <w:rPr>
          <w:lang w:val="en-US"/>
        </w:rPr>
        <w:t>Mahalanobis</w:t>
      </w:r>
      <w:proofErr w:type="spellEnd"/>
      <w:r w:rsidR="00DA165B" w:rsidRPr="009432A8">
        <w:rPr>
          <w:lang w:val="en-US"/>
        </w:rPr>
        <w:t xml:space="preserve"> distance</w:t>
      </w:r>
      <w:r w:rsidR="00DA165B">
        <w:rPr>
          <w:lang w:val="en-US"/>
        </w:rPr>
        <w:t xml:space="preserve"> </w:t>
      </w:r>
      <w:r w:rsidR="004F61EA">
        <w:rPr>
          <w:lang w:val="en-US"/>
        </w:rPr>
        <w:t xml:space="preserve">that optimizes the overall measure of distances between matched pairs neither than </w:t>
      </w:r>
      <w:r w:rsidR="004F61EA" w:rsidRPr="009432A8">
        <w:rPr>
          <w:lang w:val="en-US"/>
        </w:rPr>
        <w:t>nearest neighbor</w:t>
      </w:r>
      <w:r w:rsidR="004F61EA">
        <w:rPr>
          <w:lang w:val="en-US"/>
        </w:rPr>
        <w:t xml:space="preserve"> procedure where </w:t>
      </w:r>
      <w:r w:rsidR="004F61EA" w:rsidRPr="004F61EA">
        <w:rPr>
          <w:lang w:val="en-US"/>
        </w:rPr>
        <w:t xml:space="preserve">each </w:t>
      </w:r>
      <w:r w:rsidR="004F61EA">
        <w:rPr>
          <w:lang w:val="en-US"/>
        </w:rPr>
        <w:t>revolution</w:t>
      </w:r>
      <w:r w:rsidR="004F61EA" w:rsidRPr="004F61EA">
        <w:rPr>
          <w:lang w:val="en-US"/>
        </w:rPr>
        <w:t xml:space="preserve"> is assigned a control</w:t>
      </w:r>
      <w:r w:rsidR="004F61EA">
        <w:rPr>
          <w:lang w:val="en-US"/>
        </w:rPr>
        <w:t xml:space="preserve"> unit separately </w:t>
      </w:r>
      <w:r w:rsidR="004F61EA">
        <w:rPr>
          <w:rFonts w:eastAsiaTheme="minorEastAsia"/>
          <w:lang w:val="en-US"/>
        </w:rPr>
        <w:fldChar w:fldCharType="begin"/>
      </w:r>
      <w:r w:rsidR="004F61EA">
        <w:rPr>
          <w:rFonts w:eastAsiaTheme="minorEastAsia"/>
          <w:lang w:val="en-US"/>
        </w:rPr>
        <w:instrText xml:space="preserve"> ADDIN ZOTERO_ITEM CSL_CITATION {"citationID":"UcuHHGLg","properties":{"formattedCitation":"(Ho et al. 2011)","plainCitation":"(Ho et al. 2011)","noteIndex":0},"citationItems":[{"id":1908,"uris":["http://zotero.org/users/9380878/items/J3TLPVNV"],"itemData":{"id":1908,"type":"article-journal","container-title":"Journal of Statistical Software","DOI":"10.18637/jss.v042.i08","ISSN":"1548-7660","issue":"8","journalAbbreviation":"J. Stat. Soft.","language":"en","source":"DOI.org (Crossref)","title":"MatchIt: Nonparametric Preprocessing for Parametric Causal Inference","title-short":"&lt;b&gt;MatchIt&lt;/b&gt;","URL":"http://www.jstatsoft.org/v42/i08/","volume":"42","author":[{"family":"Ho","given":"Daniel E."},{"family":"Imai","given":"Kosuke"},{"family":"King","given":"Gary"},{"family":"Stuart","given":"Elizabeth A."}],"accessed":{"date-parts":[["2024",4,30]]},"issued":{"date-parts":[["2011"]]}}}],"schema":"https://github.com/citation-style-language/schema/raw/master/csl-citation.json"} </w:instrText>
      </w:r>
      <w:r w:rsidR="004F61EA">
        <w:rPr>
          <w:rFonts w:eastAsiaTheme="minorEastAsia"/>
          <w:lang w:val="en-US"/>
        </w:rPr>
        <w:fldChar w:fldCharType="separate"/>
      </w:r>
      <w:r w:rsidR="004F61EA">
        <w:rPr>
          <w:rFonts w:eastAsiaTheme="minorEastAsia"/>
          <w:noProof/>
          <w:lang w:val="en-US"/>
        </w:rPr>
        <w:t>(Ho et al. 2011)</w:t>
      </w:r>
      <w:r w:rsidR="004F61EA">
        <w:rPr>
          <w:rFonts w:eastAsiaTheme="minorEastAsia"/>
          <w:lang w:val="en-US"/>
        </w:rPr>
        <w:fldChar w:fldCharType="end"/>
      </w:r>
      <w:r w:rsidR="004F61EA">
        <w:rPr>
          <w:lang w:val="en-US"/>
        </w:rPr>
        <w:t xml:space="preserve">. </w:t>
      </w:r>
      <w:r w:rsidR="00070C71">
        <w:rPr>
          <w:lang w:val="en-US"/>
        </w:rPr>
        <w:t xml:space="preserve">I do not use matching based on propensity scores because </w:t>
      </w:r>
      <w:r w:rsidR="00070C71" w:rsidRPr="00070C71">
        <w:rPr>
          <w:lang w:val="en-US"/>
        </w:rPr>
        <w:t xml:space="preserve">of the considerations reflected in </w:t>
      </w:r>
      <w:r w:rsidR="00070C71">
        <w:rPr>
          <w:lang w:val="en-US"/>
        </w:rPr>
        <w:t>King and Nielsen</w:t>
      </w:r>
      <w:r w:rsidR="00070C71" w:rsidRPr="00070C71">
        <w:rPr>
          <w:lang w:val="en-US"/>
        </w:rPr>
        <w:t xml:space="preserve"> </w:t>
      </w:r>
      <w:r w:rsidR="00070C71">
        <w:rPr>
          <w:lang w:val="en-US"/>
        </w:rPr>
        <w:t xml:space="preserve">paper </w:t>
      </w:r>
      <w:r w:rsidR="00070C71">
        <w:rPr>
          <w:lang w:val="en-US"/>
        </w:rPr>
        <w:fldChar w:fldCharType="begin"/>
      </w:r>
      <w:r w:rsidR="00070C71">
        <w:rPr>
          <w:lang w:val="en-US"/>
        </w:rPr>
        <w:instrText xml:space="preserve"> ADDIN ZOTERO_ITEM CSL_CITATION {"citationID":"z7nJ7mUh","properties":{"formattedCitation":"(2019)","plainCitation":"(2019)","noteIndex":0},"citationItems":[{"id":1911,"uris":["http://zotero.org/users/9380878/items/NX2VV7E4"],"itemData":{"id":1911,"type":"article-journal","abstract":"We show that propensity score matching (PSM), an enormously popular method of preprocessing data for causal inference, often accomplishes the opposite of its intended goal—thus increasing imbalance, inefficiency, model dependence, and bias. The weakness of PSM comes from its attempts to approximate a completely randomized experiment, rather than, as with other matching methods, a more efficient fully blocked randomized experiment. PSM is thus uniquely blind to the often large portion of imbalance that can be eliminated by approximating full blocking with other matching methods. Moreover, in data balanced enough to approximate complete randomization, either to begin with or after pruning some observations, PSM approximates random matching which, we show, increases imbalance even relative to the original data. Although these results suggest researchers replace PSM with one of the other available matching methods, propensity scores have other productive uses.","container-title":"Political Analysis","DOI":"10.1017/pan.2019.11","ISSN":"1047-1987, 1476-4989","issue":"4","journalAbbreviation":"Polit. Anal.","language":"en","license":"https://www.cambridge.org/core/terms","page":"435-454","source":"DOI.org (Crossref)","title":"Why Propensity Scores Should Not Be Used for Matching","volume":"27","author":[{"family":"King","given":"Gary"},{"family":"Nielsen","given":"Richard"}],"issued":{"date-parts":[["2019",10]]}},"label":"page","suppress-author":true}],"schema":"https://github.com/citation-style-language/schema/raw/master/csl-citation.json"} </w:instrText>
      </w:r>
      <w:r w:rsidR="00070C71">
        <w:rPr>
          <w:lang w:val="en-US"/>
        </w:rPr>
        <w:fldChar w:fldCharType="separate"/>
      </w:r>
      <w:r w:rsidR="00070C71">
        <w:rPr>
          <w:noProof/>
          <w:lang w:val="en-US"/>
        </w:rPr>
        <w:t>(2019)</w:t>
      </w:r>
      <w:r w:rsidR="00070C71">
        <w:rPr>
          <w:lang w:val="en-US"/>
        </w:rPr>
        <w:fldChar w:fldCharType="end"/>
      </w:r>
      <w:r w:rsidR="00070C71" w:rsidRPr="00070C71">
        <w:rPr>
          <w:lang w:val="en-US"/>
        </w:rPr>
        <w:t xml:space="preserve">: </w:t>
      </w:r>
      <w:r w:rsidR="00070C71">
        <w:rPr>
          <w:lang w:val="en-US"/>
        </w:rPr>
        <w:t>propensity scores</w:t>
      </w:r>
      <w:r w:rsidR="00070C71" w:rsidRPr="00070C71">
        <w:rPr>
          <w:lang w:val="en-US"/>
        </w:rPr>
        <w:t xml:space="preserve"> may lead</w:t>
      </w:r>
      <w:r w:rsidR="00070C71">
        <w:rPr>
          <w:lang w:val="en-US"/>
        </w:rPr>
        <w:t xml:space="preserve"> </w:t>
      </w:r>
      <w:r w:rsidR="00070C71" w:rsidRPr="00070C71">
        <w:rPr>
          <w:lang w:val="en-US"/>
        </w:rPr>
        <w:t xml:space="preserve">to more unbalanced </w:t>
      </w:r>
      <w:r w:rsidR="00070C71">
        <w:rPr>
          <w:lang w:val="en-US"/>
        </w:rPr>
        <w:t>covariates distribution</w:t>
      </w:r>
      <w:r w:rsidR="00070C71" w:rsidRPr="00070C71">
        <w:rPr>
          <w:lang w:val="en-US"/>
        </w:rPr>
        <w:t xml:space="preserve"> and, as a consequence</w:t>
      </w:r>
      <w:r w:rsidR="000A4240">
        <w:rPr>
          <w:lang w:val="en-US"/>
        </w:rPr>
        <w:t xml:space="preserve">, </w:t>
      </w:r>
      <w:r w:rsidR="005F4E6E" w:rsidRPr="005F4E6E">
        <w:rPr>
          <w:lang w:val="en-US"/>
        </w:rPr>
        <w:t>considerably</w:t>
      </w:r>
      <w:r w:rsidR="005F4E6E">
        <w:rPr>
          <w:lang w:val="en-US"/>
        </w:rPr>
        <w:t xml:space="preserve"> </w:t>
      </w:r>
      <w:r w:rsidR="00070C71" w:rsidRPr="00070C71">
        <w:rPr>
          <w:lang w:val="en-US"/>
        </w:rPr>
        <w:t>biased estimates.</w:t>
      </w:r>
    </w:p>
    <w:p w14:paraId="0FC27376" w14:textId="73ADAD18" w:rsidR="00A31422" w:rsidRDefault="003B2697" w:rsidP="00F158E3">
      <w:pPr>
        <w:rPr>
          <w:lang w:val="en-US"/>
        </w:rPr>
      </w:pPr>
      <w:r w:rsidRPr="003B2697">
        <w:rPr>
          <w:lang w:val="en-US"/>
        </w:rPr>
        <w:t xml:space="preserve">To address the issue of missing data and ensure the results are comparable with those of the main analysis, I also employ the multiple imputations technique, which was utilized in the main regression models with the same 50 imputed datasets. </w:t>
      </w:r>
      <w:r w:rsidR="0058198D">
        <w:rPr>
          <w:lang w:val="en-US"/>
        </w:rPr>
        <w:t xml:space="preserve">I follow approach described in </w:t>
      </w:r>
      <w:proofErr w:type="spellStart"/>
      <w:r w:rsidR="0058198D">
        <w:rPr>
          <w:lang w:val="en-US"/>
        </w:rPr>
        <w:t>Leyrat</w:t>
      </w:r>
      <w:proofErr w:type="spellEnd"/>
      <w:r w:rsidR="0058198D">
        <w:rPr>
          <w:lang w:val="en-US"/>
        </w:rPr>
        <w:t xml:space="preserve"> et al. </w:t>
      </w:r>
      <w:r w:rsidR="0058198D">
        <w:rPr>
          <w:lang w:val="en-US"/>
        </w:rPr>
        <w:fldChar w:fldCharType="begin"/>
      </w:r>
      <w:r w:rsidR="0058198D">
        <w:rPr>
          <w:lang w:val="en-US"/>
        </w:rPr>
        <w:instrText xml:space="preserve"> ADDIN ZOTERO_ITEM CSL_CITATION {"citationID":"H2YNegll","properties":{"formattedCitation":"(2019)","plainCitation":"(2019)","noteIndex":0},"citationItems":[{"id":1917,"uris":["http://zotero.org/users/9380878/items/8L8QK4MB"],"itemData":{"id":1917,"type":"article-journal","abstract":"Inverse probability of treatment weighting is a popular propensity score-based approach to estimate marginal treatment effects in observational studies at risk of confounding bias. A major issue when estimating the propensity score is the presence of partially observed covariates. Multiple imputation is a natural approach to handle missing data on covariates: covariates are imputed and a propensity score analysis is performed in each imputed dataset to estimate the treatment effect. The treatment effect estimates from each imputed dataset are then combined to obtain an overall estimate. We call this method MIte. However, an alternative approach has been proposed, in which the propensity scores are combined across the imputed datasets (MIps). Therefore, there are remaining uncertainties about how to implement multiple imputation for propensity score analysis: (a) should we apply Rubin’s rules to the inverse probability of treatment weighting treatment effect estimates or to the propensity score estimates themselves? (b) does the outcome have to be included in the imputation model? (c) how should we estimate the variance of the inverse probability of treatment weighting estimator after multiple imputation? We studied the consistency and balancing properties of the MIte and MIps estimators and performed a simulation study to empirically assess their performance for the analysis of a binary outcome. We also compared the performance of these methods to complete case analysis and the missingness pattern approach, which uses a different propensity score model for each pattern of missingness, and a third multiple imputation approach in which the propensity score parameters are combined rather than the propensity scores themselves (MIpar). Under a missing at random mechanism, complete case and missingness pattern analyses were biased in most cases for estimating the marginal treatment effect, whereas multiple imputation approaches were approximately unbiased as long as the outcome was included in the imputation model. Only MIte was unbiased in all the studied scenarios and Rubin’s rules provided good variance estimates for MIte. The propensity score estimated in the MIte approach showed good balancing properties. In conclusion, when using multiple imputation in the inverse probability of treatment weighting context, MIte with the outcome included in the imputation model is the preferred approach.","container-title":"Statistical Methods in Medical Research","DOI":"10.1177/0962280217713032","ISSN":"0962-2802, 1477-0334","issue":"1","journalAbbreviation":"Stat Methods Med Res","language":"en","page":"3-19","source":"DOI.org (Crossref)","title":"Propensity score analysis with partially observed covariates: How should multiple imputation be used?","title-short":"Propensity score analysis with partially observed covariates","volume":"28","author":[{"family":"Leyrat","given":"Clémence"},{"family":"Seaman","given":"Shaun R"},{"family":"White","given":"Ian R"},{"family":"Douglas","given":"Ian"},{"family":"Smeeth","given":"Liam"},{"family":"Kim","given":"Joseph"},{"family":"Resche-Rigon","given":"Matthieu"},{"family":"Carpenter","given":"James R"},{"family":"Williamson","given":"Elizabeth J"}],"issued":{"date-parts":[["2019",1]]}},"label":"page","suppress-author":true}],"schema":"https://github.com/citation-style-language/schema/raw/master/csl-citation.json"} </w:instrText>
      </w:r>
      <w:r w:rsidR="0058198D">
        <w:rPr>
          <w:lang w:val="en-US"/>
        </w:rPr>
        <w:fldChar w:fldCharType="separate"/>
      </w:r>
      <w:r w:rsidR="0058198D">
        <w:rPr>
          <w:noProof/>
          <w:lang w:val="en-US"/>
        </w:rPr>
        <w:t>(2019)</w:t>
      </w:r>
      <w:r w:rsidR="0058198D">
        <w:rPr>
          <w:lang w:val="en-US"/>
        </w:rPr>
        <w:fldChar w:fldCharType="end"/>
      </w:r>
      <w:r w:rsidR="0058198D">
        <w:rPr>
          <w:lang w:val="en-US"/>
        </w:rPr>
        <w:t xml:space="preserve"> that suggests to run identical analysis (making matched data and estimate logistic regression) on each imputed dataset and then to combine estimate using </w:t>
      </w:r>
      <w:r w:rsidR="008D7040">
        <w:rPr>
          <w:lang w:val="en-US"/>
        </w:rPr>
        <w:t>“</w:t>
      </w:r>
      <w:r w:rsidR="008D7040" w:rsidRPr="00B37E0F">
        <w:rPr>
          <w:lang w:val="en-US"/>
        </w:rPr>
        <w:t>Rubin combination rules</w:t>
      </w:r>
      <w:r w:rsidR="008D7040">
        <w:rPr>
          <w:lang w:val="en-US"/>
        </w:rPr>
        <w:t xml:space="preserve">” </w:t>
      </w:r>
      <w:r w:rsidR="008D7040">
        <w:rPr>
          <w:lang w:val="en-US"/>
        </w:rPr>
        <w:fldChar w:fldCharType="begin"/>
      </w:r>
      <w:r w:rsidR="008D7040">
        <w:rPr>
          <w:lang w:val="en-US"/>
        </w:rPr>
        <w:instrText xml:space="preserve"> ADDIN ZOTERO_ITEM CSL_CITATION {"citationID":"2HTt2F6s","properties":{"formattedCitation":"(King et al. 2001, 53)","plainCitation":"(King et al. 2001, 53)","noteIndex":0},"citationItems":[{"id":1885,"uris":["http://zotero.org/users/9380878/items/P9ZZRFDN"],"itemData":{"id":1885,"type":"article-journal","abstract":"We propose a remedy for the discrepancy between the way political scientists analyze data with missing values and the recommendations of the statistics community. Methodologists and statisticians agree that “multiple imputation” is a superior approach to the problem of missing data scattered through one’s explanatory and dependent variables than the methods currently used in applied data analysis. The discrepancy occurs because the computational algorithms used to apply the best multiple imputation models have been slow, difficult to implement, impossible to run with existing commercial statistical packages, and have demanded considerable expertise. We adapt an algorithm and use it to implement a general-purpose, multiple imputation model for missing data. This algorithm is considerably faster and easier to use than the leading method recommended in the statistics literature. We also quantify the risks of current missing data practices, illustrate how to use the new procedure, and evaluate this alternative through simulated data as well as actual empirical examples. Finally, we offer easy-to-use software that implements all methods discussed.","container-title":"American Political Science Review","DOI":"10.1017/S0003055401000235","ISSN":"0003-0554, 1537-5943","issue":"1","journalAbbreviation":"Am Polit Sci Rev","language":"en","license":"https://www.cambridge.org/core/terms","page":"49-69","source":"DOI.org (Crossref)","title":"Analyzing Incomplete Political Science Data: An Alternative Algorithm for Multiple Imputation","title-short":"Analyzing Incomplete Political Science Data","volume":"95","author":[{"family":"King","given":"Gary"},{"family":"Honaker","given":"James"},{"family":"Joseph","given":"Anne"},{"family":"Scheve","given":"Kenneth"}],"issued":{"date-parts":[["2001",3]]}},"locator":"53","label":"page"}],"schema":"https://github.com/citation-style-language/schema/raw/master/csl-citation.json"} </w:instrText>
      </w:r>
      <w:r w:rsidR="008D7040">
        <w:rPr>
          <w:lang w:val="en-US"/>
        </w:rPr>
        <w:fldChar w:fldCharType="separate"/>
      </w:r>
      <w:r w:rsidR="008D7040">
        <w:rPr>
          <w:noProof/>
          <w:lang w:val="en-US"/>
        </w:rPr>
        <w:t>(King et al. 2001, 53)</w:t>
      </w:r>
      <w:r w:rsidR="008D7040">
        <w:rPr>
          <w:lang w:val="en-US"/>
        </w:rPr>
        <w:fldChar w:fldCharType="end"/>
      </w:r>
      <w:r w:rsidR="0058198D">
        <w:rPr>
          <w:lang w:val="en-US"/>
        </w:rPr>
        <w:t xml:space="preserve">. </w:t>
      </w:r>
    </w:p>
    <w:p w14:paraId="1406A72B" w14:textId="78067A7E" w:rsidR="00347FD0" w:rsidRPr="00B1767A" w:rsidRDefault="00820811" w:rsidP="00F158E3">
      <w:pPr>
        <w:rPr>
          <w:rFonts w:eastAsiaTheme="minorEastAsia"/>
          <w:lang w:val="en-US"/>
        </w:rPr>
      </w:pPr>
      <w:r>
        <w:rPr>
          <w:rFonts w:eastAsiaTheme="minorEastAsia"/>
          <w:lang w:val="en-US"/>
        </w:rPr>
        <w:t xml:space="preserve">I use the same covariates as in the main analysis with exact matching on region and year to block variance from cross-sectional (region) or time (year) dimensions that might affect effect of income level on revolutions. As number of revolutions is relatively small, </w:t>
      </w:r>
      <w:r w:rsidR="00B1767A">
        <w:rPr>
          <w:rFonts w:eastAsiaTheme="minorEastAsia"/>
          <w:lang w:val="en-US"/>
        </w:rPr>
        <w:t xml:space="preserve">so </w:t>
      </w:r>
      <w:r>
        <w:rPr>
          <w:rFonts w:eastAsiaTheme="minorEastAsia"/>
          <w:lang w:val="en-US"/>
        </w:rPr>
        <w:t>I try to find 2 cases for each revolution</w:t>
      </w:r>
      <w:r w:rsidR="005443CF">
        <w:rPr>
          <w:rFonts w:eastAsiaTheme="minorEastAsia"/>
          <w:lang w:val="en-US"/>
        </w:rPr>
        <w:t xml:space="preserve"> from NAVCO and 4 from Beissinger’s extended dataset</w:t>
      </w:r>
      <w:r>
        <w:rPr>
          <w:rFonts w:eastAsiaTheme="minorEastAsia"/>
          <w:lang w:val="en-US"/>
        </w:rPr>
        <w:t xml:space="preserve"> that increases efficiency of estimation. </w:t>
      </w:r>
      <w:r w:rsidR="00347FD0" w:rsidRPr="00347FD0">
        <w:rPr>
          <w:rFonts w:eastAsiaTheme="minorEastAsia"/>
          <w:lang w:val="en-US"/>
        </w:rPr>
        <w:t xml:space="preserve">Matching was performed using the </w:t>
      </w:r>
      <w:r w:rsidR="00347FD0">
        <w:rPr>
          <w:rFonts w:eastAsiaTheme="minorEastAsia"/>
          <w:lang w:val="en-US"/>
        </w:rPr>
        <w:t>“</w:t>
      </w:r>
      <w:proofErr w:type="spellStart"/>
      <w:r w:rsidR="00347FD0">
        <w:rPr>
          <w:rFonts w:eastAsiaTheme="minorEastAsia"/>
          <w:lang w:val="en-US"/>
        </w:rPr>
        <w:t>MatchIt</w:t>
      </w:r>
      <w:proofErr w:type="spellEnd"/>
      <w:r w:rsidR="00347FD0">
        <w:rPr>
          <w:rFonts w:eastAsiaTheme="minorEastAsia"/>
          <w:lang w:val="en-US"/>
        </w:rPr>
        <w:t>”</w:t>
      </w:r>
      <w:r w:rsidR="00347FD0" w:rsidRPr="00347FD0">
        <w:rPr>
          <w:rFonts w:eastAsiaTheme="minorEastAsia"/>
          <w:lang w:val="en-US"/>
        </w:rPr>
        <w:t xml:space="preserve"> package </w:t>
      </w:r>
      <w:r w:rsidR="00347FD0">
        <w:rPr>
          <w:rFonts w:eastAsiaTheme="minorEastAsia"/>
          <w:lang w:val="en-US"/>
        </w:rPr>
        <w:fldChar w:fldCharType="begin"/>
      </w:r>
      <w:r w:rsidR="00973D2A">
        <w:rPr>
          <w:rFonts w:eastAsiaTheme="minorEastAsia"/>
          <w:lang w:val="en-US"/>
        </w:rPr>
        <w:instrText xml:space="preserve"> ADDIN ZOTERO_ITEM CSL_CITATION {"citationID":"Unk8PZhh","properties":{"formattedCitation":"(Ho et al. 2011)","plainCitation":"(Ho et al. 2011)","noteIndex":0},"citationItems":[{"id":1908,"uris":["http://zotero.org/users/9380878/items/J3TLPVNV"],"itemData":{"id":1908,"type":"article-journal","container-title":"Journal of Statistical Software","DOI":"10.18637/jss.v042.i08","ISSN":"1548-7660","issue":"8","journalAbbreviation":"J. Stat. Soft.","language":"en","source":"DOI.org (Crossref)","title":"MatchIt: Nonparametric Preprocessing for Parametric Causal Inference","title-short":"&lt;b&gt;MatchIt&lt;/b&gt;","URL":"http://www.jstatsoft.org/v42/i08/","volume":"42","author":[{"family":"Ho","given":"Daniel E."},{"family":"Imai","given":"Kosuke"},{"family":"King","given":"Gary"},{"family":"Stuart","given":"Elizabeth A."}],"accessed":{"date-parts":[["2024",4,30]]},"issued":{"date-parts":[["2011"]]}}}],"schema":"https://github.com/citation-style-language/schema/raw/master/csl-citation.json"} </w:instrText>
      </w:r>
      <w:r w:rsidR="00347FD0">
        <w:rPr>
          <w:rFonts w:eastAsiaTheme="minorEastAsia"/>
          <w:lang w:val="en-US"/>
        </w:rPr>
        <w:fldChar w:fldCharType="separate"/>
      </w:r>
      <w:r w:rsidR="00347FD0">
        <w:rPr>
          <w:rFonts w:eastAsiaTheme="minorEastAsia"/>
          <w:noProof/>
          <w:lang w:val="en-US"/>
        </w:rPr>
        <w:t>(Ho et al. 2011)</w:t>
      </w:r>
      <w:r w:rsidR="00347FD0">
        <w:rPr>
          <w:rFonts w:eastAsiaTheme="minorEastAsia"/>
          <w:lang w:val="en-US"/>
        </w:rPr>
        <w:fldChar w:fldCharType="end"/>
      </w:r>
      <w:r w:rsidR="00146ACE">
        <w:rPr>
          <w:rFonts w:eastAsiaTheme="minorEastAsia"/>
          <w:lang w:val="en-US"/>
        </w:rPr>
        <w:t xml:space="preserve"> in R</w:t>
      </w:r>
      <w:r w:rsidR="00752149">
        <w:rPr>
          <w:rFonts w:eastAsiaTheme="minorEastAsia"/>
          <w:lang w:val="en-US"/>
        </w:rPr>
        <w:t xml:space="preserve">. </w:t>
      </w:r>
    </w:p>
    <w:p w14:paraId="2C1D0DC3" w14:textId="5E2ABCCA" w:rsidR="00C745C8" w:rsidRDefault="00347FD0" w:rsidP="00F158E3">
      <w:pPr>
        <w:rPr>
          <w:rFonts w:eastAsiaTheme="minorEastAsia"/>
          <w:i/>
          <w:iCs/>
          <w:lang w:val="en-US"/>
        </w:rPr>
      </w:pPr>
      <w:r>
        <w:rPr>
          <w:rFonts w:eastAsiaTheme="minorEastAsia"/>
          <w:i/>
          <w:iCs/>
          <w:lang w:val="en-US"/>
        </w:rPr>
        <w:t>Covariate</w:t>
      </w:r>
      <w:r w:rsidR="00633D6E">
        <w:rPr>
          <w:rFonts w:eastAsiaTheme="minorEastAsia"/>
          <w:i/>
          <w:iCs/>
          <w:lang w:val="en-US"/>
        </w:rPr>
        <w:t>s</w:t>
      </w:r>
      <w:r>
        <w:rPr>
          <w:rFonts w:eastAsiaTheme="minorEastAsia"/>
          <w:i/>
          <w:iCs/>
          <w:lang w:val="en-US"/>
        </w:rPr>
        <w:t xml:space="preserve"> balance</w:t>
      </w:r>
    </w:p>
    <w:p w14:paraId="00E8A9FE" w14:textId="2806F9AD" w:rsidR="00C745C8" w:rsidRPr="008467E9" w:rsidRDefault="00C745C8" w:rsidP="00F158E3">
      <w:pPr>
        <w:rPr>
          <w:rFonts w:eastAsiaTheme="minorEastAsia"/>
          <w:lang w:val="en-US"/>
        </w:rPr>
      </w:pPr>
      <w:r>
        <w:rPr>
          <w:rFonts w:eastAsiaTheme="minorEastAsia"/>
          <w:lang w:val="en-US"/>
        </w:rPr>
        <w:t xml:space="preserve">Firstly, in the </w:t>
      </w:r>
      <w:r w:rsidR="004A582A">
        <w:rPr>
          <w:rFonts w:eastAsiaTheme="minorEastAsia"/>
          <w:lang w:val="en-US"/>
        </w:rPr>
        <w:t>Table</w:t>
      </w:r>
      <w:r>
        <w:rPr>
          <w:rFonts w:eastAsiaTheme="minorEastAsia"/>
          <w:lang w:val="en-US"/>
        </w:rPr>
        <w:t xml:space="preserve"> below </w:t>
      </w:r>
      <w:r w:rsidR="00347FD0">
        <w:rPr>
          <w:rFonts w:eastAsiaTheme="minorEastAsia"/>
          <w:lang w:val="en-US"/>
        </w:rPr>
        <w:t xml:space="preserve">covariate balance among unadjusted (original) and matched data is </w:t>
      </w:r>
      <w:r w:rsidR="004A582A">
        <w:rPr>
          <w:rFonts w:eastAsiaTheme="minorEastAsia"/>
          <w:lang w:val="en-US"/>
        </w:rPr>
        <w:t>shown</w:t>
      </w:r>
      <w:r w:rsidR="007F341F">
        <w:rPr>
          <w:rFonts w:eastAsiaTheme="minorEastAsia"/>
          <w:lang w:val="en-US"/>
        </w:rPr>
        <w:t>, where mean and range is shown across all imputed datasets</w:t>
      </w:r>
      <w:r w:rsidR="00347FD0">
        <w:rPr>
          <w:rFonts w:eastAsiaTheme="minorEastAsia"/>
          <w:lang w:val="en-US"/>
        </w:rPr>
        <w:t xml:space="preserve">. </w:t>
      </w:r>
      <w:r w:rsidR="004A582A">
        <w:rPr>
          <w:rFonts w:eastAsiaTheme="minorEastAsia"/>
          <w:lang w:val="en-US"/>
        </w:rPr>
        <w:t xml:space="preserve">As balance metrics </w:t>
      </w:r>
      <w:r w:rsidR="00347FD0">
        <w:rPr>
          <w:rFonts w:eastAsiaTheme="minorEastAsia"/>
          <w:lang w:val="en-US"/>
        </w:rPr>
        <w:t>Standardized Mean Difference (SMD)</w:t>
      </w:r>
      <w:r w:rsidR="004A582A">
        <w:rPr>
          <w:rFonts w:eastAsiaTheme="minorEastAsia"/>
          <w:lang w:val="en-US"/>
        </w:rPr>
        <w:t xml:space="preserve"> and </w:t>
      </w:r>
      <w:r w:rsidR="00347FD0">
        <w:rPr>
          <w:rFonts w:eastAsiaTheme="minorEastAsia"/>
          <w:lang w:val="en-US"/>
        </w:rPr>
        <w:t xml:space="preserve">Variance Ration (VR) </w:t>
      </w:r>
      <w:r w:rsidR="004A582A">
        <w:rPr>
          <w:rFonts w:eastAsiaTheme="minorEastAsia"/>
          <w:lang w:val="en-US"/>
        </w:rPr>
        <w:t>factor are chosen to catch distributions of covariates comprehensively</w:t>
      </w:r>
      <w:r w:rsidR="00347FD0">
        <w:rPr>
          <w:rFonts w:eastAsiaTheme="minorEastAsia"/>
          <w:lang w:val="en-US"/>
        </w:rPr>
        <w:t>.</w:t>
      </w:r>
      <w:r w:rsidR="007F341F">
        <w:rPr>
          <w:rFonts w:eastAsiaTheme="minorEastAsia"/>
          <w:lang w:val="en-US"/>
        </w:rPr>
        <w:t xml:space="preserve"> </w:t>
      </w:r>
      <w:r w:rsidR="00347FD0">
        <w:rPr>
          <w:rFonts w:eastAsiaTheme="minorEastAsia"/>
          <w:lang w:val="en-US"/>
        </w:rPr>
        <w:t xml:space="preserve">One can see that initial data was </w:t>
      </w:r>
      <w:r w:rsidR="007F341F">
        <w:rPr>
          <w:rFonts w:eastAsiaTheme="minorEastAsia"/>
          <w:lang w:val="en-US"/>
        </w:rPr>
        <w:t xml:space="preserve">highly </w:t>
      </w:r>
      <w:r w:rsidR="00347FD0">
        <w:rPr>
          <w:rFonts w:eastAsiaTheme="minorEastAsia"/>
          <w:lang w:val="en-US"/>
        </w:rPr>
        <w:t xml:space="preserve">unbalanced: </w:t>
      </w:r>
      <w:r w:rsidR="00347FD0">
        <w:rPr>
          <w:rFonts w:eastAsiaTheme="minorEastAsia"/>
          <w:lang w:val="en-US"/>
        </w:rPr>
        <w:lastRenderedPageBreak/>
        <w:t>distributions of covariates</w:t>
      </w:r>
      <w:r w:rsidR="00962669">
        <w:rPr>
          <w:rFonts w:eastAsiaTheme="minorEastAsia"/>
          <w:lang w:val="en-US"/>
        </w:rPr>
        <w:t xml:space="preserve"> have huge differences across revolutionary and non-revolutionary cases, while after the matching procedure</w:t>
      </w:r>
      <w:r w:rsidR="007F341F">
        <w:rPr>
          <w:rFonts w:eastAsiaTheme="minorEastAsia"/>
          <w:lang w:val="en-US"/>
        </w:rPr>
        <w:t xml:space="preserve"> the data becomes relatively balanced.</w:t>
      </w:r>
      <w:r w:rsidR="00650932">
        <w:rPr>
          <w:rFonts w:eastAsiaTheme="minorEastAsia"/>
          <w:lang w:val="en-US"/>
        </w:rPr>
        <w:t xml:space="preserve"> Meanwhile, in case of NAVCO 1.3 cases (see Table 1) with nearest matching, regime durability and revolutions in region have high SMD even after balancing, that shows the protentional imbalance in the resulted datasets. Nevertheless, another test, VR, does not indicate imbalance in them </w:t>
      </w:r>
      <w:r w:rsidR="00650932" w:rsidRPr="00650932">
        <w:rPr>
          <w:rFonts w:eastAsiaTheme="minorEastAsia"/>
          <w:lang w:val="en-US"/>
        </w:rPr>
        <w:t>which indicates a positive result in balancing the data.</w:t>
      </w:r>
      <w:r w:rsidR="008467E9" w:rsidRPr="008467E9">
        <w:rPr>
          <w:rFonts w:eastAsiaTheme="minorEastAsia"/>
          <w:lang w:val="en-US"/>
        </w:rPr>
        <w:t xml:space="preserve"> </w:t>
      </w:r>
      <w:r w:rsidR="008467E9">
        <w:rPr>
          <w:rFonts w:eastAsiaTheme="minorEastAsia"/>
          <w:lang w:val="en-US"/>
        </w:rPr>
        <w:t xml:space="preserve">The same situation exists with optimal procedure. </w:t>
      </w:r>
    </w:p>
    <w:tbl>
      <w:tblPr>
        <w:tblW w:w="7230" w:type="dxa"/>
        <w:jc w:val="center"/>
        <w:tblLook w:val="04A0" w:firstRow="1" w:lastRow="0" w:firstColumn="1" w:lastColumn="0" w:noHBand="0" w:noVBand="1"/>
      </w:tblPr>
      <w:tblGrid>
        <w:gridCol w:w="2549"/>
        <w:gridCol w:w="1030"/>
        <w:gridCol w:w="957"/>
        <w:gridCol w:w="851"/>
        <w:gridCol w:w="992"/>
        <w:gridCol w:w="851"/>
      </w:tblGrid>
      <w:tr w:rsidR="005C3DDB" w:rsidRPr="005443CF" w14:paraId="09AFA207" w14:textId="77777777" w:rsidTr="00FB60AF">
        <w:trPr>
          <w:trHeight w:val="300"/>
          <w:jc w:val="center"/>
        </w:trPr>
        <w:tc>
          <w:tcPr>
            <w:tcW w:w="7230" w:type="dxa"/>
            <w:gridSpan w:val="6"/>
            <w:tcBorders>
              <w:top w:val="nil"/>
              <w:left w:val="nil"/>
              <w:bottom w:val="single" w:sz="4" w:space="0" w:color="auto"/>
              <w:right w:val="nil"/>
            </w:tcBorders>
            <w:shd w:val="clear" w:color="auto" w:fill="auto"/>
            <w:noWrap/>
            <w:vAlign w:val="bottom"/>
          </w:tcPr>
          <w:p w14:paraId="6CB227D9" w14:textId="51E3A40F" w:rsidR="005C3DDB" w:rsidRPr="009C5696" w:rsidRDefault="005C3DDB" w:rsidP="00E111CF">
            <w:pPr>
              <w:spacing w:after="0" w:line="240" w:lineRule="auto"/>
              <w:jc w:val="left"/>
              <w:rPr>
                <w:rFonts w:eastAsia="Times New Roman" w:cs="Times New Roman"/>
                <w:color w:val="000000"/>
                <w:szCs w:val="24"/>
                <w:lang w:val="en-US" w:eastAsia="ru-RU"/>
              </w:rPr>
            </w:pPr>
            <w:r w:rsidRPr="00E111CF">
              <w:rPr>
                <w:rFonts w:eastAsia="Times New Roman" w:cs="Times New Roman"/>
                <w:color w:val="000000"/>
                <w:szCs w:val="24"/>
                <w:lang w:val="en-US" w:eastAsia="ru-RU"/>
              </w:rPr>
              <w:t>Table 1.</w:t>
            </w:r>
            <w:r w:rsidR="009C5696">
              <w:rPr>
                <w:rFonts w:eastAsia="Times New Roman" w:cs="Times New Roman"/>
                <w:color w:val="000000"/>
                <w:szCs w:val="24"/>
                <w:lang w:val="en-US" w:eastAsia="ru-RU"/>
              </w:rPr>
              <w:t xml:space="preserve"> Balance of</w:t>
            </w:r>
            <w:r w:rsidRPr="00E111CF">
              <w:rPr>
                <w:rFonts w:eastAsia="Times New Roman" w:cs="Times New Roman"/>
                <w:color w:val="000000"/>
                <w:szCs w:val="24"/>
                <w:lang w:val="en-US" w:eastAsia="ru-RU"/>
              </w:rPr>
              <w:t xml:space="preserve"> NAVCO</w:t>
            </w:r>
            <w:r w:rsidR="009C5696">
              <w:rPr>
                <w:rFonts w:eastAsia="Times New Roman" w:cs="Times New Roman"/>
                <w:color w:val="000000"/>
                <w:szCs w:val="24"/>
                <w:lang w:val="en-US" w:eastAsia="ru-RU"/>
              </w:rPr>
              <w:t xml:space="preserve"> 1.3 cases. </w:t>
            </w:r>
          </w:p>
        </w:tc>
      </w:tr>
      <w:tr w:rsidR="005C3DDB" w:rsidRPr="00E111CF" w14:paraId="51D551DF" w14:textId="77777777" w:rsidTr="00FB60AF">
        <w:trPr>
          <w:trHeight w:val="300"/>
          <w:jc w:val="center"/>
        </w:trPr>
        <w:tc>
          <w:tcPr>
            <w:tcW w:w="2549" w:type="dxa"/>
            <w:tcBorders>
              <w:top w:val="single" w:sz="4" w:space="0" w:color="auto"/>
              <w:left w:val="nil"/>
              <w:bottom w:val="single" w:sz="4" w:space="0" w:color="auto"/>
              <w:right w:val="nil"/>
            </w:tcBorders>
            <w:shd w:val="clear" w:color="auto" w:fill="auto"/>
            <w:noWrap/>
            <w:vAlign w:val="bottom"/>
            <w:hideMark/>
          </w:tcPr>
          <w:p w14:paraId="7765A1CF" w14:textId="55B33BAC" w:rsidR="005C3DDB" w:rsidRPr="00DC1371" w:rsidRDefault="00E111CF" w:rsidP="00E111CF">
            <w:pPr>
              <w:spacing w:line="240" w:lineRule="auto"/>
              <w:jc w:val="left"/>
              <w:rPr>
                <w:rFonts w:eastAsia="Times New Roman" w:cs="Times New Roman"/>
                <w:color w:val="000000"/>
                <w:szCs w:val="24"/>
                <w:lang w:val="en-US" w:eastAsia="ru-RU"/>
              </w:rPr>
            </w:pPr>
            <w:r w:rsidRPr="00E111CF">
              <w:rPr>
                <w:rFonts w:eastAsia="Times New Roman" w:cs="Times New Roman"/>
                <w:color w:val="000000"/>
                <w:szCs w:val="24"/>
                <w:lang w:val="en-US" w:eastAsia="ru-RU"/>
              </w:rPr>
              <w:t xml:space="preserve">Variable </w:t>
            </w:r>
          </w:p>
        </w:tc>
        <w:tc>
          <w:tcPr>
            <w:tcW w:w="1030" w:type="dxa"/>
            <w:tcBorders>
              <w:top w:val="single" w:sz="4" w:space="0" w:color="auto"/>
              <w:left w:val="nil"/>
              <w:bottom w:val="single" w:sz="4" w:space="0" w:color="auto"/>
              <w:right w:val="nil"/>
            </w:tcBorders>
            <w:shd w:val="clear" w:color="auto" w:fill="auto"/>
            <w:noWrap/>
            <w:vAlign w:val="bottom"/>
            <w:hideMark/>
          </w:tcPr>
          <w:p w14:paraId="10FD718C" w14:textId="58355331" w:rsidR="005C3DDB" w:rsidRPr="00DC1371" w:rsidRDefault="00E111CF" w:rsidP="00E111CF">
            <w:pPr>
              <w:spacing w:line="240" w:lineRule="auto"/>
              <w:jc w:val="left"/>
              <w:rPr>
                <w:rFonts w:eastAsia="Times New Roman" w:cs="Times New Roman"/>
                <w:color w:val="000000"/>
                <w:szCs w:val="24"/>
                <w:lang w:val="en-US" w:eastAsia="ru-RU"/>
              </w:rPr>
            </w:pPr>
            <w:proofErr w:type="spellStart"/>
            <w:r w:rsidRPr="00E111CF">
              <w:rPr>
                <w:rFonts w:eastAsia="Times New Roman" w:cs="Times New Roman"/>
                <w:color w:val="000000"/>
                <w:szCs w:val="24"/>
                <w:lang w:val="en-US" w:eastAsia="ru-RU"/>
              </w:rPr>
              <w:t>Mathing</w:t>
            </w:r>
            <w:proofErr w:type="spellEnd"/>
          </w:p>
        </w:tc>
        <w:tc>
          <w:tcPr>
            <w:tcW w:w="957" w:type="dxa"/>
            <w:tcBorders>
              <w:top w:val="single" w:sz="4" w:space="0" w:color="auto"/>
              <w:left w:val="nil"/>
              <w:bottom w:val="single" w:sz="4" w:space="0" w:color="auto"/>
              <w:right w:val="nil"/>
            </w:tcBorders>
            <w:shd w:val="clear" w:color="auto" w:fill="auto"/>
            <w:noWrap/>
            <w:vAlign w:val="bottom"/>
            <w:hideMark/>
          </w:tcPr>
          <w:p w14:paraId="65F9B830" w14:textId="171914E9" w:rsidR="005C3DDB" w:rsidRPr="00DC1371" w:rsidRDefault="005C3DDB" w:rsidP="00E111CF">
            <w:pPr>
              <w:spacing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SMD before</w:t>
            </w:r>
          </w:p>
        </w:tc>
        <w:tc>
          <w:tcPr>
            <w:tcW w:w="851" w:type="dxa"/>
            <w:tcBorders>
              <w:top w:val="single" w:sz="4" w:space="0" w:color="auto"/>
              <w:left w:val="nil"/>
              <w:bottom w:val="single" w:sz="4" w:space="0" w:color="auto"/>
              <w:right w:val="nil"/>
            </w:tcBorders>
            <w:shd w:val="clear" w:color="auto" w:fill="auto"/>
            <w:noWrap/>
            <w:vAlign w:val="bottom"/>
            <w:hideMark/>
          </w:tcPr>
          <w:p w14:paraId="381BE959" w14:textId="3843EB7D" w:rsidR="005C3DDB" w:rsidRPr="00DC1371" w:rsidRDefault="005C3DDB" w:rsidP="00E111CF">
            <w:pPr>
              <w:spacing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SMD after</w:t>
            </w:r>
          </w:p>
        </w:tc>
        <w:tc>
          <w:tcPr>
            <w:tcW w:w="992" w:type="dxa"/>
            <w:tcBorders>
              <w:top w:val="single" w:sz="4" w:space="0" w:color="auto"/>
              <w:left w:val="nil"/>
              <w:bottom w:val="single" w:sz="4" w:space="0" w:color="auto"/>
              <w:right w:val="nil"/>
            </w:tcBorders>
            <w:shd w:val="clear" w:color="auto" w:fill="auto"/>
            <w:noWrap/>
            <w:vAlign w:val="bottom"/>
            <w:hideMark/>
          </w:tcPr>
          <w:p w14:paraId="21D3C1FE" w14:textId="0F516040" w:rsidR="005C3DDB" w:rsidRPr="00DC1371" w:rsidRDefault="005C3DDB" w:rsidP="00E111CF">
            <w:pPr>
              <w:spacing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VR</w:t>
            </w:r>
            <w:r w:rsidR="00E111CF">
              <w:rPr>
                <w:rFonts w:eastAsia="Times New Roman" w:cs="Times New Roman"/>
                <w:color w:val="000000"/>
                <w:szCs w:val="24"/>
                <w:lang w:val="en-US" w:eastAsia="ru-RU"/>
              </w:rPr>
              <w:t xml:space="preserve"> </w:t>
            </w:r>
            <w:r w:rsidRPr="00E111CF">
              <w:rPr>
                <w:rFonts w:eastAsia="Times New Roman" w:cs="Times New Roman"/>
                <w:color w:val="000000"/>
                <w:szCs w:val="24"/>
                <w:lang w:val="en-US" w:eastAsia="ru-RU"/>
              </w:rPr>
              <w:t>before</w:t>
            </w:r>
          </w:p>
        </w:tc>
        <w:tc>
          <w:tcPr>
            <w:tcW w:w="851" w:type="dxa"/>
            <w:tcBorders>
              <w:top w:val="single" w:sz="4" w:space="0" w:color="auto"/>
              <w:left w:val="nil"/>
              <w:bottom w:val="single" w:sz="4" w:space="0" w:color="auto"/>
              <w:right w:val="nil"/>
            </w:tcBorders>
            <w:shd w:val="clear" w:color="auto" w:fill="auto"/>
            <w:noWrap/>
            <w:vAlign w:val="bottom"/>
            <w:hideMark/>
          </w:tcPr>
          <w:p w14:paraId="53C5EBC3" w14:textId="173DAA80" w:rsidR="005C3DDB" w:rsidRPr="00DC1371" w:rsidRDefault="005C3DDB" w:rsidP="00E111CF">
            <w:pPr>
              <w:spacing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VR</w:t>
            </w:r>
            <w:r w:rsidR="00E111CF">
              <w:rPr>
                <w:rFonts w:eastAsia="Times New Roman" w:cs="Times New Roman"/>
                <w:color w:val="000000"/>
                <w:szCs w:val="24"/>
                <w:lang w:val="en-US" w:eastAsia="ru-RU"/>
              </w:rPr>
              <w:t xml:space="preserve"> </w:t>
            </w:r>
            <w:r w:rsidRPr="00E111CF">
              <w:rPr>
                <w:rFonts w:eastAsia="Times New Roman" w:cs="Times New Roman"/>
                <w:color w:val="000000"/>
                <w:szCs w:val="24"/>
                <w:lang w:val="en-US" w:eastAsia="ru-RU"/>
              </w:rPr>
              <w:t>after</w:t>
            </w:r>
          </w:p>
        </w:tc>
      </w:tr>
      <w:tr w:rsidR="009C5696" w:rsidRPr="00E111CF" w14:paraId="69F00AD8" w14:textId="77777777" w:rsidTr="00245C38">
        <w:trPr>
          <w:trHeight w:val="300"/>
          <w:jc w:val="center"/>
        </w:trPr>
        <w:tc>
          <w:tcPr>
            <w:tcW w:w="2549" w:type="dxa"/>
            <w:tcBorders>
              <w:top w:val="single" w:sz="4" w:space="0" w:color="auto"/>
              <w:left w:val="nil"/>
              <w:bottom w:val="nil"/>
              <w:right w:val="nil"/>
            </w:tcBorders>
            <w:shd w:val="clear" w:color="auto" w:fill="auto"/>
            <w:noWrap/>
            <w:vAlign w:val="center"/>
            <w:hideMark/>
          </w:tcPr>
          <w:p w14:paraId="7FB2BB96" w14:textId="34D708CB"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Economic growth, 5-year average</w:t>
            </w:r>
          </w:p>
        </w:tc>
        <w:tc>
          <w:tcPr>
            <w:tcW w:w="1030" w:type="dxa"/>
            <w:tcBorders>
              <w:top w:val="single" w:sz="4" w:space="0" w:color="auto"/>
              <w:left w:val="nil"/>
              <w:bottom w:val="nil"/>
              <w:right w:val="nil"/>
            </w:tcBorders>
            <w:shd w:val="clear" w:color="auto" w:fill="auto"/>
            <w:noWrap/>
            <w:vAlign w:val="bottom"/>
            <w:hideMark/>
          </w:tcPr>
          <w:p w14:paraId="06D3790F"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single" w:sz="4" w:space="0" w:color="auto"/>
              <w:left w:val="nil"/>
              <w:bottom w:val="nil"/>
              <w:right w:val="nil"/>
            </w:tcBorders>
            <w:shd w:val="clear" w:color="auto" w:fill="auto"/>
            <w:noWrap/>
            <w:vAlign w:val="bottom"/>
            <w:hideMark/>
          </w:tcPr>
          <w:p w14:paraId="79D7E8D2"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0.01</w:t>
            </w:r>
          </w:p>
        </w:tc>
        <w:tc>
          <w:tcPr>
            <w:tcW w:w="851" w:type="dxa"/>
            <w:tcBorders>
              <w:top w:val="single" w:sz="4" w:space="0" w:color="auto"/>
              <w:left w:val="nil"/>
              <w:bottom w:val="nil"/>
              <w:right w:val="nil"/>
            </w:tcBorders>
            <w:shd w:val="clear" w:color="auto" w:fill="auto"/>
            <w:noWrap/>
            <w:vAlign w:val="bottom"/>
            <w:hideMark/>
          </w:tcPr>
          <w:p w14:paraId="6B0BBF37"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-0.02</w:t>
            </w:r>
          </w:p>
        </w:tc>
        <w:tc>
          <w:tcPr>
            <w:tcW w:w="992" w:type="dxa"/>
            <w:tcBorders>
              <w:top w:val="single" w:sz="4" w:space="0" w:color="auto"/>
              <w:left w:val="nil"/>
              <w:bottom w:val="nil"/>
              <w:right w:val="nil"/>
            </w:tcBorders>
            <w:shd w:val="clear" w:color="auto" w:fill="auto"/>
            <w:noWrap/>
            <w:vAlign w:val="bottom"/>
            <w:hideMark/>
          </w:tcPr>
          <w:p w14:paraId="3CB395A5"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0.74</w:t>
            </w:r>
          </w:p>
        </w:tc>
        <w:tc>
          <w:tcPr>
            <w:tcW w:w="851" w:type="dxa"/>
            <w:tcBorders>
              <w:top w:val="single" w:sz="4" w:space="0" w:color="auto"/>
              <w:left w:val="nil"/>
              <w:bottom w:val="nil"/>
              <w:right w:val="nil"/>
            </w:tcBorders>
            <w:shd w:val="clear" w:color="auto" w:fill="auto"/>
            <w:noWrap/>
            <w:vAlign w:val="bottom"/>
            <w:hideMark/>
          </w:tcPr>
          <w:p w14:paraId="5080ADB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0.92</w:t>
            </w:r>
          </w:p>
        </w:tc>
      </w:tr>
      <w:tr w:rsidR="00DC1371" w:rsidRPr="00E111CF" w14:paraId="62879A24"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38DCF189" w14:textId="20DFF2E8" w:rsidR="00DC1371" w:rsidRPr="009C5696"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Population, log</w:t>
            </w:r>
          </w:p>
        </w:tc>
        <w:tc>
          <w:tcPr>
            <w:tcW w:w="1030" w:type="dxa"/>
            <w:tcBorders>
              <w:top w:val="nil"/>
              <w:left w:val="nil"/>
              <w:bottom w:val="nil"/>
              <w:right w:val="nil"/>
            </w:tcBorders>
            <w:shd w:val="clear" w:color="auto" w:fill="auto"/>
            <w:noWrap/>
            <w:vAlign w:val="bottom"/>
            <w:hideMark/>
          </w:tcPr>
          <w:p w14:paraId="0F2AF249"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7D9D8201"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0.59</w:t>
            </w:r>
          </w:p>
        </w:tc>
        <w:tc>
          <w:tcPr>
            <w:tcW w:w="851" w:type="dxa"/>
            <w:tcBorders>
              <w:top w:val="nil"/>
              <w:left w:val="nil"/>
              <w:bottom w:val="nil"/>
              <w:right w:val="nil"/>
            </w:tcBorders>
            <w:shd w:val="clear" w:color="auto" w:fill="auto"/>
            <w:noWrap/>
            <w:vAlign w:val="bottom"/>
            <w:hideMark/>
          </w:tcPr>
          <w:p w14:paraId="1E915601"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0.2</w:t>
            </w:r>
          </w:p>
        </w:tc>
        <w:tc>
          <w:tcPr>
            <w:tcW w:w="992" w:type="dxa"/>
            <w:tcBorders>
              <w:top w:val="nil"/>
              <w:left w:val="nil"/>
              <w:bottom w:val="nil"/>
              <w:right w:val="nil"/>
            </w:tcBorders>
            <w:shd w:val="clear" w:color="auto" w:fill="auto"/>
            <w:noWrap/>
            <w:vAlign w:val="bottom"/>
            <w:hideMark/>
          </w:tcPr>
          <w:p w14:paraId="489D1E95"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0.84</w:t>
            </w:r>
          </w:p>
        </w:tc>
        <w:tc>
          <w:tcPr>
            <w:tcW w:w="851" w:type="dxa"/>
            <w:tcBorders>
              <w:top w:val="nil"/>
              <w:left w:val="nil"/>
              <w:bottom w:val="nil"/>
              <w:right w:val="nil"/>
            </w:tcBorders>
            <w:shd w:val="clear" w:color="auto" w:fill="auto"/>
            <w:noWrap/>
            <w:vAlign w:val="bottom"/>
            <w:hideMark/>
          </w:tcPr>
          <w:p w14:paraId="4EAB1923"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0.93</w:t>
            </w:r>
          </w:p>
        </w:tc>
      </w:tr>
      <w:tr w:rsidR="00DC1371" w:rsidRPr="00E111CF" w14:paraId="44ACEF73"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73153C3" w14:textId="2979DAC8" w:rsidR="00DC1371" w:rsidRPr="00DC1371" w:rsidRDefault="009C5696" w:rsidP="00E111CF">
            <w:pPr>
              <w:spacing w:line="240" w:lineRule="auto"/>
              <w:jc w:val="left"/>
              <w:rPr>
                <w:rFonts w:eastAsia="Times New Roman" w:cs="Times New Roman"/>
                <w:color w:val="000000"/>
                <w:szCs w:val="24"/>
                <w:lang w:eastAsia="ru-RU"/>
              </w:rPr>
            </w:pPr>
            <w:r>
              <w:rPr>
                <w:rFonts w:eastAsia="Helvetica" w:cs="Times New Roman"/>
                <w:color w:val="000000"/>
                <w:sz w:val="22"/>
                <w:lang w:val="en-US"/>
              </w:rPr>
              <w:t>Polity</w:t>
            </w:r>
          </w:p>
        </w:tc>
        <w:tc>
          <w:tcPr>
            <w:tcW w:w="1030" w:type="dxa"/>
            <w:tcBorders>
              <w:top w:val="nil"/>
              <w:left w:val="nil"/>
              <w:bottom w:val="nil"/>
              <w:right w:val="nil"/>
            </w:tcBorders>
            <w:shd w:val="clear" w:color="auto" w:fill="auto"/>
            <w:noWrap/>
            <w:vAlign w:val="bottom"/>
            <w:hideMark/>
          </w:tcPr>
          <w:p w14:paraId="0A671CE9"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30CCCB8C"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-0.05</w:t>
            </w:r>
          </w:p>
        </w:tc>
        <w:tc>
          <w:tcPr>
            <w:tcW w:w="851" w:type="dxa"/>
            <w:tcBorders>
              <w:top w:val="nil"/>
              <w:left w:val="nil"/>
              <w:bottom w:val="nil"/>
              <w:right w:val="nil"/>
            </w:tcBorders>
            <w:shd w:val="clear" w:color="auto" w:fill="auto"/>
            <w:noWrap/>
            <w:vAlign w:val="bottom"/>
            <w:hideMark/>
          </w:tcPr>
          <w:p w14:paraId="3BA9767A"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-0.02</w:t>
            </w:r>
          </w:p>
        </w:tc>
        <w:tc>
          <w:tcPr>
            <w:tcW w:w="992" w:type="dxa"/>
            <w:tcBorders>
              <w:top w:val="nil"/>
              <w:left w:val="nil"/>
              <w:bottom w:val="nil"/>
              <w:right w:val="nil"/>
            </w:tcBorders>
            <w:shd w:val="clear" w:color="auto" w:fill="auto"/>
            <w:noWrap/>
            <w:vAlign w:val="bottom"/>
            <w:hideMark/>
          </w:tcPr>
          <w:p w14:paraId="6F32FE22"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0.73</w:t>
            </w:r>
          </w:p>
        </w:tc>
        <w:tc>
          <w:tcPr>
            <w:tcW w:w="851" w:type="dxa"/>
            <w:tcBorders>
              <w:top w:val="nil"/>
              <w:left w:val="nil"/>
              <w:bottom w:val="nil"/>
              <w:right w:val="nil"/>
            </w:tcBorders>
            <w:shd w:val="clear" w:color="auto" w:fill="auto"/>
            <w:noWrap/>
            <w:vAlign w:val="bottom"/>
            <w:hideMark/>
          </w:tcPr>
          <w:p w14:paraId="124C5A10"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w:t>
            </w:r>
          </w:p>
        </w:tc>
      </w:tr>
      <w:tr w:rsidR="00DC1371" w:rsidRPr="00E111CF" w14:paraId="46A61B1F"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396ADDC1" w14:textId="17D13DD9" w:rsidR="00DC1371" w:rsidRPr="009C5696"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Regime durability, log</w:t>
            </w:r>
          </w:p>
        </w:tc>
        <w:tc>
          <w:tcPr>
            <w:tcW w:w="1030" w:type="dxa"/>
            <w:tcBorders>
              <w:top w:val="nil"/>
              <w:left w:val="nil"/>
              <w:bottom w:val="nil"/>
              <w:right w:val="nil"/>
            </w:tcBorders>
            <w:shd w:val="clear" w:color="auto" w:fill="auto"/>
            <w:noWrap/>
            <w:vAlign w:val="bottom"/>
            <w:hideMark/>
          </w:tcPr>
          <w:p w14:paraId="53C9F9D2"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0681DCC9"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-0.27</w:t>
            </w:r>
          </w:p>
        </w:tc>
        <w:tc>
          <w:tcPr>
            <w:tcW w:w="851" w:type="dxa"/>
            <w:tcBorders>
              <w:top w:val="nil"/>
              <w:left w:val="nil"/>
              <w:bottom w:val="nil"/>
              <w:right w:val="nil"/>
            </w:tcBorders>
            <w:shd w:val="clear" w:color="auto" w:fill="auto"/>
            <w:noWrap/>
            <w:vAlign w:val="bottom"/>
            <w:hideMark/>
          </w:tcPr>
          <w:p w14:paraId="3EFFC949" w14:textId="77777777" w:rsidR="00DC1371" w:rsidRPr="00650932" w:rsidRDefault="00DC1371" w:rsidP="00E111CF">
            <w:pPr>
              <w:spacing w:line="240" w:lineRule="auto"/>
              <w:jc w:val="center"/>
              <w:rPr>
                <w:rFonts w:eastAsia="Times New Roman" w:cs="Times New Roman"/>
                <w:b/>
                <w:bCs/>
                <w:color w:val="000000"/>
                <w:szCs w:val="24"/>
                <w:lang w:eastAsia="ru-RU"/>
              </w:rPr>
            </w:pPr>
            <w:r w:rsidRPr="00650932">
              <w:rPr>
                <w:rFonts w:eastAsia="Times New Roman" w:cs="Times New Roman"/>
                <w:b/>
                <w:bCs/>
                <w:color w:val="000000"/>
                <w:szCs w:val="24"/>
                <w:lang w:eastAsia="ru-RU"/>
              </w:rPr>
              <w:t>-0.27</w:t>
            </w:r>
          </w:p>
        </w:tc>
        <w:tc>
          <w:tcPr>
            <w:tcW w:w="992" w:type="dxa"/>
            <w:tcBorders>
              <w:top w:val="nil"/>
              <w:left w:val="nil"/>
              <w:bottom w:val="nil"/>
              <w:right w:val="nil"/>
            </w:tcBorders>
            <w:shd w:val="clear" w:color="auto" w:fill="auto"/>
            <w:noWrap/>
            <w:vAlign w:val="bottom"/>
            <w:hideMark/>
          </w:tcPr>
          <w:p w14:paraId="75D9CD2F"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0.96</w:t>
            </w:r>
          </w:p>
        </w:tc>
        <w:tc>
          <w:tcPr>
            <w:tcW w:w="851" w:type="dxa"/>
            <w:tcBorders>
              <w:top w:val="nil"/>
              <w:left w:val="nil"/>
              <w:bottom w:val="nil"/>
              <w:right w:val="nil"/>
            </w:tcBorders>
            <w:shd w:val="clear" w:color="auto" w:fill="auto"/>
            <w:noWrap/>
            <w:vAlign w:val="bottom"/>
            <w:hideMark/>
          </w:tcPr>
          <w:p w14:paraId="3FA171D8"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1.16</w:t>
            </w:r>
          </w:p>
        </w:tc>
      </w:tr>
      <w:tr w:rsidR="00DC1371" w:rsidRPr="00E111CF" w14:paraId="531AFD6D"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D6B4016" w14:textId="4F5EB498" w:rsidR="00DC1371" w:rsidRPr="00DC1371"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Urbanization</w:t>
            </w:r>
          </w:p>
        </w:tc>
        <w:tc>
          <w:tcPr>
            <w:tcW w:w="1030" w:type="dxa"/>
            <w:tcBorders>
              <w:top w:val="nil"/>
              <w:left w:val="nil"/>
              <w:bottom w:val="nil"/>
              <w:right w:val="nil"/>
            </w:tcBorders>
            <w:shd w:val="clear" w:color="auto" w:fill="auto"/>
            <w:noWrap/>
            <w:vAlign w:val="bottom"/>
            <w:hideMark/>
          </w:tcPr>
          <w:p w14:paraId="4686854D"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31B4B7CF"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-0.03</w:t>
            </w:r>
          </w:p>
        </w:tc>
        <w:tc>
          <w:tcPr>
            <w:tcW w:w="851" w:type="dxa"/>
            <w:tcBorders>
              <w:top w:val="nil"/>
              <w:left w:val="nil"/>
              <w:bottom w:val="nil"/>
              <w:right w:val="nil"/>
            </w:tcBorders>
            <w:shd w:val="clear" w:color="auto" w:fill="auto"/>
            <w:noWrap/>
            <w:vAlign w:val="bottom"/>
            <w:hideMark/>
          </w:tcPr>
          <w:p w14:paraId="7CFC5C0F"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-0.05</w:t>
            </w:r>
          </w:p>
        </w:tc>
        <w:tc>
          <w:tcPr>
            <w:tcW w:w="992" w:type="dxa"/>
            <w:tcBorders>
              <w:top w:val="nil"/>
              <w:left w:val="nil"/>
              <w:bottom w:val="nil"/>
              <w:right w:val="nil"/>
            </w:tcBorders>
            <w:shd w:val="clear" w:color="auto" w:fill="auto"/>
            <w:noWrap/>
            <w:vAlign w:val="bottom"/>
            <w:hideMark/>
          </w:tcPr>
          <w:p w14:paraId="78649FCF"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w:t>
            </w:r>
          </w:p>
        </w:tc>
        <w:tc>
          <w:tcPr>
            <w:tcW w:w="851" w:type="dxa"/>
            <w:tcBorders>
              <w:top w:val="nil"/>
              <w:left w:val="nil"/>
              <w:bottom w:val="nil"/>
              <w:right w:val="nil"/>
            </w:tcBorders>
            <w:shd w:val="clear" w:color="auto" w:fill="auto"/>
            <w:noWrap/>
            <w:vAlign w:val="bottom"/>
            <w:hideMark/>
          </w:tcPr>
          <w:p w14:paraId="4753CBD9"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0.83</w:t>
            </w:r>
          </w:p>
        </w:tc>
      </w:tr>
      <w:tr w:rsidR="00DC1371" w:rsidRPr="00E111CF" w14:paraId="010A553E"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4D791451" w14:textId="33F55119" w:rsidR="00DC1371" w:rsidRPr="009C5696"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 xml:space="preserve">Corruption </w:t>
            </w:r>
          </w:p>
        </w:tc>
        <w:tc>
          <w:tcPr>
            <w:tcW w:w="1030" w:type="dxa"/>
            <w:tcBorders>
              <w:top w:val="nil"/>
              <w:left w:val="nil"/>
              <w:bottom w:val="nil"/>
              <w:right w:val="nil"/>
            </w:tcBorders>
            <w:shd w:val="clear" w:color="auto" w:fill="auto"/>
            <w:noWrap/>
            <w:vAlign w:val="bottom"/>
            <w:hideMark/>
          </w:tcPr>
          <w:p w14:paraId="390D3979"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4B62ACD3"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0.55</w:t>
            </w:r>
          </w:p>
        </w:tc>
        <w:tc>
          <w:tcPr>
            <w:tcW w:w="851" w:type="dxa"/>
            <w:tcBorders>
              <w:top w:val="nil"/>
              <w:left w:val="nil"/>
              <w:bottom w:val="nil"/>
              <w:right w:val="nil"/>
            </w:tcBorders>
            <w:shd w:val="clear" w:color="auto" w:fill="auto"/>
            <w:noWrap/>
            <w:vAlign w:val="bottom"/>
            <w:hideMark/>
          </w:tcPr>
          <w:p w14:paraId="238CFAA3"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0.14</w:t>
            </w:r>
          </w:p>
        </w:tc>
        <w:tc>
          <w:tcPr>
            <w:tcW w:w="992" w:type="dxa"/>
            <w:tcBorders>
              <w:top w:val="nil"/>
              <w:left w:val="nil"/>
              <w:bottom w:val="nil"/>
              <w:right w:val="nil"/>
            </w:tcBorders>
            <w:shd w:val="clear" w:color="auto" w:fill="auto"/>
            <w:noWrap/>
            <w:vAlign w:val="bottom"/>
            <w:hideMark/>
          </w:tcPr>
          <w:p w14:paraId="72780CD6"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0.67</w:t>
            </w:r>
          </w:p>
        </w:tc>
        <w:tc>
          <w:tcPr>
            <w:tcW w:w="851" w:type="dxa"/>
            <w:tcBorders>
              <w:top w:val="nil"/>
              <w:left w:val="nil"/>
              <w:bottom w:val="nil"/>
              <w:right w:val="nil"/>
            </w:tcBorders>
            <w:shd w:val="clear" w:color="auto" w:fill="auto"/>
            <w:noWrap/>
            <w:vAlign w:val="bottom"/>
            <w:hideMark/>
          </w:tcPr>
          <w:p w14:paraId="029174D8"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0.92</w:t>
            </w:r>
          </w:p>
        </w:tc>
      </w:tr>
      <w:tr w:rsidR="00DC1371" w:rsidRPr="00E111CF" w14:paraId="37CACC48"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474E440" w14:textId="78CB2291" w:rsidR="00DC1371" w:rsidRPr="00DC1371"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Education</w:t>
            </w:r>
          </w:p>
        </w:tc>
        <w:tc>
          <w:tcPr>
            <w:tcW w:w="1030" w:type="dxa"/>
            <w:tcBorders>
              <w:top w:val="nil"/>
              <w:left w:val="nil"/>
              <w:bottom w:val="nil"/>
              <w:right w:val="nil"/>
            </w:tcBorders>
            <w:shd w:val="clear" w:color="auto" w:fill="auto"/>
            <w:noWrap/>
            <w:vAlign w:val="bottom"/>
            <w:hideMark/>
          </w:tcPr>
          <w:p w14:paraId="13650BA0"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267BA3B9"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0.14</w:t>
            </w:r>
          </w:p>
        </w:tc>
        <w:tc>
          <w:tcPr>
            <w:tcW w:w="851" w:type="dxa"/>
            <w:tcBorders>
              <w:top w:val="nil"/>
              <w:left w:val="nil"/>
              <w:bottom w:val="nil"/>
              <w:right w:val="nil"/>
            </w:tcBorders>
            <w:shd w:val="clear" w:color="auto" w:fill="auto"/>
            <w:noWrap/>
            <w:vAlign w:val="bottom"/>
            <w:hideMark/>
          </w:tcPr>
          <w:p w14:paraId="7044C0F1"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-0.01</w:t>
            </w:r>
          </w:p>
        </w:tc>
        <w:tc>
          <w:tcPr>
            <w:tcW w:w="992" w:type="dxa"/>
            <w:tcBorders>
              <w:top w:val="nil"/>
              <w:left w:val="nil"/>
              <w:bottom w:val="nil"/>
              <w:right w:val="nil"/>
            </w:tcBorders>
            <w:shd w:val="clear" w:color="auto" w:fill="auto"/>
            <w:noWrap/>
            <w:vAlign w:val="bottom"/>
            <w:hideMark/>
          </w:tcPr>
          <w:p w14:paraId="18AABFBF"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0.83</w:t>
            </w:r>
          </w:p>
        </w:tc>
        <w:tc>
          <w:tcPr>
            <w:tcW w:w="851" w:type="dxa"/>
            <w:tcBorders>
              <w:top w:val="nil"/>
              <w:left w:val="nil"/>
              <w:bottom w:val="nil"/>
              <w:right w:val="nil"/>
            </w:tcBorders>
            <w:shd w:val="clear" w:color="auto" w:fill="auto"/>
            <w:noWrap/>
            <w:vAlign w:val="bottom"/>
            <w:hideMark/>
          </w:tcPr>
          <w:p w14:paraId="698ACA8A"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w:t>
            </w:r>
          </w:p>
        </w:tc>
      </w:tr>
      <w:tr w:rsidR="00DC1371" w:rsidRPr="00E111CF" w14:paraId="77D9F74B"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7A0BC19A" w14:textId="6E9D15BB" w:rsidR="00DC1371" w:rsidRPr="009C5696"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Revolutions in the same region</w:t>
            </w:r>
          </w:p>
        </w:tc>
        <w:tc>
          <w:tcPr>
            <w:tcW w:w="1030" w:type="dxa"/>
            <w:tcBorders>
              <w:top w:val="nil"/>
              <w:left w:val="nil"/>
              <w:bottom w:val="nil"/>
              <w:right w:val="nil"/>
            </w:tcBorders>
            <w:shd w:val="clear" w:color="auto" w:fill="auto"/>
            <w:noWrap/>
            <w:vAlign w:val="bottom"/>
            <w:hideMark/>
          </w:tcPr>
          <w:p w14:paraId="300F3891"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52F9E3AC"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0.26</w:t>
            </w:r>
          </w:p>
        </w:tc>
        <w:tc>
          <w:tcPr>
            <w:tcW w:w="851" w:type="dxa"/>
            <w:tcBorders>
              <w:top w:val="nil"/>
              <w:left w:val="nil"/>
              <w:bottom w:val="nil"/>
              <w:right w:val="nil"/>
            </w:tcBorders>
            <w:shd w:val="clear" w:color="auto" w:fill="auto"/>
            <w:noWrap/>
            <w:vAlign w:val="bottom"/>
            <w:hideMark/>
          </w:tcPr>
          <w:p w14:paraId="57A024E2" w14:textId="77777777" w:rsidR="00DC1371" w:rsidRPr="00650932" w:rsidRDefault="00DC1371" w:rsidP="00E111CF">
            <w:pPr>
              <w:spacing w:line="240" w:lineRule="auto"/>
              <w:jc w:val="center"/>
              <w:rPr>
                <w:rFonts w:eastAsia="Times New Roman" w:cs="Times New Roman"/>
                <w:b/>
                <w:bCs/>
                <w:color w:val="000000"/>
                <w:szCs w:val="24"/>
                <w:lang w:eastAsia="ru-RU"/>
              </w:rPr>
            </w:pPr>
            <w:r w:rsidRPr="00650932">
              <w:rPr>
                <w:rFonts w:eastAsia="Times New Roman" w:cs="Times New Roman"/>
                <w:b/>
                <w:bCs/>
                <w:color w:val="000000"/>
                <w:szCs w:val="24"/>
                <w:lang w:eastAsia="ru-RU"/>
              </w:rPr>
              <w:t>-0.46</w:t>
            </w:r>
          </w:p>
        </w:tc>
        <w:tc>
          <w:tcPr>
            <w:tcW w:w="992" w:type="dxa"/>
            <w:tcBorders>
              <w:top w:val="nil"/>
              <w:left w:val="nil"/>
              <w:bottom w:val="nil"/>
              <w:right w:val="nil"/>
            </w:tcBorders>
            <w:shd w:val="clear" w:color="auto" w:fill="auto"/>
            <w:noWrap/>
            <w:vAlign w:val="bottom"/>
            <w:hideMark/>
          </w:tcPr>
          <w:p w14:paraId="35B3E56B" w14:textId="03A82A82" w:rsidR="00DC1371" w:rsidRPr="00DC1371" w:rsidRDefault="00DC1371" w:rsidP="00E111CF">
            <w:pPr>
              <w:spacing w:line="240" w:lineRule="auto"/>
              <w:jc w:val="center"/>
              <w:rPr>
                <w:rFonts w:eastAsia="Times New Roman" w:cs="Times New Roman"/>
                <w:color w:val="000000"/>
                <w:szCs w:val="24"/>
                <w:lang w:eastAsia="ru-RU"/>
              </w:rPr>
            </w:pPr>
          </w:p>
        </w:tc>
        <w:tc>
          <w:tcPr>
            <w:tcW w:w="851" w:type="dxa"/>
            <w:tcBorders>
              <w:top w:val="nil"/>
              <w:left w:val="nil"/>
              <w:bottom w:val="nil"/>
              <w:right w:val="nil"/>
            </w:tcBorders>
            <w:shd w:val="clear" w:color="auto" w:fill="auto"/>
            <w:noWrap/>
            <w:vAlign w:val="bottom"/>
            <w:hideMark/>
          </w:tcPr>
          <w:p w14:paraId="51750240" w14:textId="196790C9" w:rsidR="00DC1371" w:rsidRPr="00DC1371" w:rsidRDefault="00DC1371" w:rsidP="00E111CF">
            <w:pPr>
              <w:spacing w:line="240" w:lineRule="auto"/>
              <w:jc w:val="center"/>
              <w:rPr>
                <w:rFonts w:eastAsia="Times New Roman" w:cs="Times New Roman"/>
                <w:color w:val="000000"/>
                <w:szCs w:val="24"/>
                <w:lang w:eastAsia="ru-RU"/>
              </w:rPr>
            </w:pPr>
          </w:p>
        </w:tc>
      </w:tr>
      <w:tr w:rsidR="00DC1371" w:rsidRPr="00E111CF" w14:paraId="0A1EEF79" w14:textId="77777777" w:rsidTr="00FB60AF">
        <w:trPr>
          <w:trHeight w:val="300"/>
          <w:jc w:val="center"/>
        </w:trPr>
        <w:tc>
          <w:tcPr>
            <w:tcW w:w="2549" w:type="dxa"/>
            <w:tcBorders>
              <w:top w:val="nil"/>
              <w:left w:val="nil"/>
              <w:bottom w:val="single" w:sz="4" w:space="0" w:color="auto"/>
              <w:right w:val="nil"/>
            </w:tcBorders>
            <w:shd w:val="clear" w:color="auto" w:fill="auto"/>
            <w:noWrap/>
            <w:vAlign w:val="bottom"/>
            <w:hideMark/>
          </w:tcPr>
          <w:p w14:paraId="7FF0F107" w14:textId="28347F87" w:rsidR="00DC1371" w:rsidRPr="009C5696" w:rsidRDefault="009C5696" w:rsidP="00E111CF">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Revolutions in the past</w:t>
            </w:r>
          </w:p>
        </w:tc>
        <w:tc>
          <w:tcPr>
            <w:tcW w:w="1030" w:type="dxa"/>
            <w:tcBorders>
              <w:top w:val="nil"/>
              <w:left w:val="nil"/>
              <w:bottom w:val="single" w:sz="4" w:space="0" w:color="auto"/>
              <w:right w:val="nil"/>
            </w:tcBorders>
            <w:shd w:val="clear" w:color="auto" w:fill="auto"/>
            <w:noWrap/>
            <w:vAlign w:val="bottom"/>
            <w:hideMark/>
          </w:tcPr>
          <w:p w14:paraId="595B9240" w14:textId="77777777" w:rsidR="00DC1371" w:rsidRPr="00DC1371" w:rsidRDefault="00DC1371" w:rsidP="00E111CF">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single" w:sz="4" w:space="0" w:color="auto"/>
              <w:right w:val="nil"/>
            </w:tcBorders>
            <w:shd w:val="clear" w:color="auto" w:fill="auto"/>
            <w:noWrap/>
            <w:vAlign w:val="bottom"/>
            <w:hideMark/>
          </w:tcPr>
          <w:p w14:paraId="29069311"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0.52</w:t>
            </w:r>
          </w:p>
        </w:tc>
        <w:tc>
          <w:tcPr>
            <w:tcW w:w="851" w:type="dxa"/>
            <w:tcBorders>
              <w:top w:val="nil"/>
              <w:left w:val="nil"/>
              <w:bottom w:val="single" w:sz="4" w:space="0" w:color="auto"/>
              <w:right w:val="nil"/>
            </w:tcBorders>
            <w:shd w:val="clear" w:color="auto" w:fill="auto"/>
            <w:noWrap/>
            <w:vAlign w:val="bottom"/>
            <w:hideMark/>
          </w:tcPr>
          <w:p w14:paraId="7C44C9A4"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0.17</w:t>
            </w:r>
          </w:p>
        </w:tc>
        <w:tc>
          <w:tcPr>
            <w:tcW w:w="992" w:type="dxa"/>
            <w:tcBorders>
              <w:top w:val="nil"/>
              <w:left w:val="nil"/>
              <w:bottom w:val="single" w:sz="4" w:space="0" w:color="auto"/>
              <w:right w:val="nil"/>
            </w:tcBorders>
            <w:shd w:val="clear" w:color="auto" w:fill="auto"/>
            <w:noWrap/>
            <w:vAlign w:val="bottom"/>
            <w:hideMark/>
          </w:tcPr>
          <w:p w14:paraId="75F889F1"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2.62</w:t>
            </w:r>
          </w:p>
        </w:tc>
        <w:tc>
          <w:tcPr>
            <w:tcW w:w="851" w:type="dxa"/>
            <w:tcBorders>
              <w:top w:val="nil"/>
              <w:left w:val="nil"/>
              <w:bottom w:val="single" w:sz="4" w:space="0" w:color="auto"/>
              <w:right w:val="nil"/>
            </w:tcBorders>
            <w:shd w:val="clear" w:color="auto" w:fill="auto"/>
            <w:noWrap/>
            <w:vAlign w:val="bottom"/>
            <w:hideMark/>
          </w:tcPr>
          <w:p w14:paraId="5AD0DC02" w14:textId="77777777" w:rsidR="00DC1371" w:rsidRPr="00DC1371" w:rsidRDefault="00DC1371" w:rsidP="00E111CF">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1.35</w:t>
            </w:r>
          </w:p>
        </w:tc>
      </w:tr>
      <w:tr w:rsidR="009C5696" w:rsidRPr="00E111CF" w14:paraId="15EE9729" w14:textId="77777777" w:rsidTr="000D409C">
        <w:trPr>
          <w:trHeight w:val="300"/>
          <w:jc w:val="center"/>
        </w:trPr>
        <w:tc>
          <w:tcPr>
            <w:tcW w:w="2549" w:type="dxa"/>
            <w:tcBorders>
              <w:top w:val="single" w:sz="4" w:space="0" w:color="auto"/>
              <w:left w:val="nil"/>
              <w:bottom w:val="nil"/>
              <w:right w:val="nil"/>
            </w:tcBorders>
            <w:shd w:val="clear" w:color="auto" w:fill="auto"/>
            <w:noWrap/>
            <w:vAlign w:val="center"/>
            <w:hideMark/>
          </w:tcPr>
          <w:p w14:paraId="5FD5B219" w14:textId="412FE881"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Economic growth, 5-year average</w:t>
            </w:r>
          </w:p>
        </w:tc>
        <w:tc>
          <w:tcPr>
            <w:tcW w:w="1030" w:type="dxa"/>
            <w:tcBorders>
              <w:top w:val="single" w:sz="4" w:space="0" w:color="auto"/>
              <w:left w:val="nil"/>
              <w:bottom w:val="nil"/>
              <w:right w:val="nil"/>
            </w:tcBorders>
            <w:shd w:val="clear" w:color="auto" w:fill="auto"/>
            <w:noWrap/>
            <w:vAlign w:val="bottom"/>
            <w:hideMark/>
          </w:tcPr>
          <w:p w14:paraId="241E4B51"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single" w:sz="4" w:space="0" w:color="auto"/>
              <w:left w:val="nil"/>
              <w:bottom w:val="nil"/>
              <w:right w:val="nil"/>
            </w:tcBorders>
            <w:shd w:val="clear" w:color="auto" w:fill="auto"/>
            <w:noWrap/>
            <w:vAlign w:val="bottom"/>
            <w:hideMark/>
          </w:tcPr>
          <w:p w14:paraId="393C1AEC"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0.01</w:t>
            </w:r>
          </w:p>
        </w:tc>
        <w:tc>
          <w:tcPr>
            <w:tcW w:w="851" w:type="dxa"/>
            <w:tcBorders>
              <w:top w:val="single" w:sz="4" w:space="0" w:color="auto"/>
              <w:left w:val="nil"/>
              <w:bottom w:val="nil"/>
              <w:right w:val="nil"/>
            </w:tcBorders>
            <w:shd w:val="clear" w:color="auto" w:fill="auto"/>
            <w:noWrap/>
            <w:vAlign w:val="bottom"/>
            <w:hideMark/>
          </w:tcPr>
          <w:p w14:paraId="51E1A7E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-0.02</w:t>
            </w:r>
          </w:p>
        </w:tc>
        <w:tc>
          <w:tcPr>
            <w:tcW w:w="992" w:type="dxa"/>
            <w:tcBorders>
              <w:top w:val="single" w:sz="4" w:space="0" w:color="auto"/>
              <w:left w:val="nil"/>
              <w:bottom w:val="nil"/>
              <w:right w:val="nil"/>
            </w:tcBorders>
            <w:shd w:val="clear" w:color="auto" w:fill="auto"/>
            <w:noWrap/>
            <w:vAlign w:val="bottom"/>
            <w:hideMark/>
          </w:tcPr>
          <w:p w14:paraId="58F400EB"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0.74</w:t>
            </w:r>
          </w:p>
        </w:tc>
        <w:tc>
          <w:tcPr>
            <w:tcW w:w="851" w:type="dxa"/>
            <w:tcBorders>
              <w:top w:val="single" w:sz="4" w:space="0" w:color="auto"/>
              <w:left w:val="nil"/>
              <w:bottom w:val="nil"/>
              <w:right w:val="nil"/>
            </w:tcBorders>
            <w:shd w:val="clear" w:color="auto" w:fill="auto"/>
            <w:noWrap/>
            <w:vAlign w:val="bottom"/>
            <w:hideMark/>
          </w:tcPr>
          <w:p w14:paraId="23D41EB3"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1.24</w:t>
            </w:r>
          </w:p>
        </w:tc>
      </w:tr>
      <w:tr w:rsidR="009C5696" w:rsidRPr="00E111CF" w14:paraId="4346D883"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7D29B251" w14:textId="5ECE88E0"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Population, log</w:t>
            </w:r>
          </w:p>
        </w:tc>
        <w:tc>
          <w:tcPr>
            <w:tcW w:w="1030" w:type="dxa"/>
            <w:tcBorders>
              <w:top w:val="nil"/>
              <w:left w:val="nil"/>
              <w:bottom w:val="nil"/>
              <w:right w:val="nil"/>
            </w:tcBorders>
            <w:shd w:val="clear" w:color="auto" w:fill="auto"/>
            <w:noWrap/>
            <w:vAlign w:val="bottom"/>
            <w:hideMark/>
          </w:tcPr>
          <w:p w14:paraId="43AAD6FF"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0C06BAFF"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0.59</w:t>
            </w:r>
          </w:p>
        </w:tc>
        <w:tc>
          <w:tcPr>
            <w:tcW w:w="851" w:type="dxa"/>
            <w:tcBorders>
              <w:top w:val="nil"/>
              <w:left w:val="nil"/>
              <w:bottom w:val="nil"/>
              <w:right w:val="nil"/>
            </w:tcBorders>
            <w:shd w:val="clear" w:color="auto" w:fill="auto"/>
            <w:noWrap/>
            <w:vAlign w:val="bottom"/>
            <w:hideMark/>
          </w:tcPr>
          <w:p w14:paraId="7940919D" w14:textId="77777777"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eastAsia="Times New Roman" w:cs="Times New Roman"/>
                <w:b/>
                <w:bCs/>
                <w:color w:val="000000"/>
                <w:szCs w:val="24"/>
                <w:lang w:eastAsia="ru-RU"/>
              </w:rPr>
              <w:t>0.25</w:t>
            </w:r>
          </w:p>
        </w:tc>
        <w:tc>
          <w:tcPr>
            <w:tcW w:w="992" w:type="dxa"/>
            <w:tcBorders>
              <w:top w:val="nil"/>
              <w:left w:val="nil"/>
              <w:bottom w:val="nil"/>
              <w:right w:val="nil"/>
            </w:tcBorders>
            <w:shd w:val="clear" w:color="auto" w:fill="auto"/>
            <w:noWrap/>
            <w:vAlign w:val="bottom"/>
            <w:hideMark/>
          </w:tcPr>
          <w:p w14:paraId="3D1F3117"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0.84</w:t>
            </w:r>
          </w:p>
        </w:tc>
        <w:tc>
          <w:tcPr>
            <w:tcW w:w="851" w:type="dxa"/>
            <w:tcBorders>
              <w:top w:val="nil"/>
              <w:left w:val="nil"/>
              <w:bottom w:val="nil"/>
              <w:right w:val="nil"/>
            </w:tcBorders>
            <w:shd w:val="clear" w:color="auto" w:fill="auto"/>
            <w:noWrap/>
            <w:vAlign w:val="bottom"/>
            <w:hideMark/>
          </w:tcPr>
          <w:p w14:paraId="70AB1F56"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0.95</w:t>
            </w:r>
          </w:p>
        </w:tc>
      </w:tr>
      <w:tr w:rsidR="009C5696" w:rsidRPr="00E111CF" w14:paraId="730CE086"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FECFB01" w14:textId="43C61B3C"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Polity</w:t>
            </w:r>
          </w:p>
        </w:tc>
        <w:tc>
          <w:tcPr>
            <w:tcW w:w="1030" w:type="dxa"/>
            <w:tcBorders>
              <w:top w:val="nil"/>
              <w:left w:val="nil"/>
              <w:bottom w:val="nil"/>
              <w:right w:val="nil"/>
            </w:tcBorders>
            <w:shd w:val="clear" w:color="auto" w:fill="auto"/>
            <w:noWrap/>
            <w:vAlign w:val="bottom"/>
            <w:hideMark/>
          </w:tcPr>
          <w:p w14:paraId="1165FE94"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10E42380"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-0.05</w:t>
            </w:r>
          </w:p>
        </w:tc>
        <w:tc>
          <w:tcPr>
            <w:tcW w:w="851" w:type="dxa"/>
            <w:tcBorders>
              <w:top w:val="nil"/>
              <w:left w:val="nil"/>
              <w:bottom w:val="nil"/>
              <w:right w:val="nil"/>
            </w:tcBorders>
            <w:shd w:val="clear" w:color="auto" w:fill="auto"/>
            <w:noWrap/>
            <w:vAlign w:val="bottom"/>
            <w:hideMark/>
          </w:tcPr>
          <w:p w14:paraId="1B328DAA"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w:t>
            </w:r>
          </w:p>
        </w:tc>
        <w:tc>
          <w:tcPr>
            <w:tcW w:w="992" w:type="dxa"/>
            <w:tcBorders>
              <w:top w:val="nil"/>
              <w:left w:val="nil"/>
              <w:bottom w:val="nil"/>
              <w:right w:val="nil"/>
            </w:tcBorders>
            <w:shd w:val="clear" w:color="auto" w:fill="auto"/>
            <w:noWrap/>
            <w:vAlign w:val="bottom"/>
            <w:hideMark/>
          </w:tcPr>
          <w:p w14:paraId="7D717404"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0.73</w:t>
            </w:r>
          </w:p>
        </w:tc>
        <w:tc>
          <w:tcPr>
            <w:tcW w:w="851" w:type="dxa"/>
            <w:tcBorders>
              <w:top w:val="nil"/>
              <w:left w:val="nil"/>
              <w:bottom w:val="nil"/>
              <w:right w:val="nil"/>
            </w:tcBorders>
            <w:shd w:val="clear" w:color="auto" w:fill="auto"/>
            <w:noWrap/>
            <w:vAlign w:val="bottom"/>
            <w:hideMark/>
          </w:tcPr>
          <w:p w14:paraId="047CC5A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0.81</w:t>
            </w:r>
          </w:p>
        </w:tc>
      </w:tr>
      <w:tr w:rsidR="009C5696" w:rsidRPr="00E111CF" w14:paraId="750228D3"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500E5E2E" w14:textId="4EB4BEA9"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Regime durability, log</w:t>
            </w:r>
          </w:p>
        </w:tc>
        <w:tc>
          <w:tcPr>
            <w:tcW w:w="1030" w:type="dxa"/>
            <w:tcBorders>
              <w:top w:val="nil"/>
              <w:left w:val="nil"/>
              <w:bottom w:val="nil"/>
              <w:right w:val="nil"/>
            </w:tcBorders>
            <w:shd w:val="clear" w:color="auto" w:fill="auto"/>
            <w:noWrap/>
            <w:vAlign w:val="bottom"/>
            <w:hideMark/>
          </w:tcPr>
          <w:p w14:paraId="523FDAF5"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76BFD772"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-0.27</w:t>
            </w:r>
          </w:p>
        </w:tc>
        <w:tc>
          <w:tcPr>
            <w:tcW w:w="851" w:type="dxa"/>
            <w:tcBorders>
              <w:top w:val="nil"/>
              <w:left w:val="nil"/>
              <w:bottom w:val="nil"/>
              <w:right w:val="nil"/>
            </w:tcBorders>
            <w:shd w:val="clear" w:color="auto" w:fill="auto"/>
            <w:noWrap/>
            <w:vAlign w:val="bottom"/>
            <w:hideMark/>
          </w:tcPr>
          <w:p w14:paraId="38B92694" w14:textId="77777777"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eastAsia="Times New Roman" w:cs="Times New Roman"/>
                <w:b/>
                <w:bCs/>
                <w:color w:val="000000"/>
                <w:szCs w:val="24"/>
                <w:lang w:eastAsia="ru-RU"/>
              </w:rPr>
              <w:t>-0.31</w:t>
            </w:r>
          </w:p>
        </w:tc>
        <w:tc>
          <w:tcPr>
            <w:tcW w:w="992" w:type="dxa"/>
            <w:tcBorders>
              <w:top w:val="nil"/>
              <w:left w:val="nil"/>
              <w:bottom w:val="nil"/>
              <w:right w:val="nil"/>
            </w:tcBorders>
            <w:shd w:val="clear" w:color="auto" w:fill="auto"/>
            <w:noWrap/>
            <w:vAlign w:val="bottom"/>
            <w:hideMark/>
          </w:tcPr>
          <w:p w14:paraId="3209C07A"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0.96</w:t>
            </w:r>
          </w:p>
        </w:tc>
        <w:tc>
          <w:tcPr>
            <w:tcW w:w="851" w:type="dxa"/>
            <w:tcBorders>
              <w:top w:val="nil"/>
              <w:left w:val="nil"/>
              <w:bottom w:val="nil"/>
              <w:right w:val="nil"/>
            </w:tcBorders>
            <w:shd w:val="clear" w:color="auto" w:fill="auto"/>
            <w:noWrap/>
            <w:vAlign w:val="bottom"/>
            <w:hideMark/>
          </w:tcPr>
          <w:p w14:paraId="3B29D173"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1.23</w:t>
            </w:r>
          </w:p>
        </w:tc>
      </w:tr>
      <w:tr w:rsidR="009C5696" w:rsidRPr="00E111CF" w14:paraId="4C7E7E3E"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EE50BCE" w14:textId="21CE4B17"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Urbanization</w:t>
            </w:r>
          </w:p>
        </w:tc>
        <w:tc>
          <w:tcPr>
            <w:tcW w:w="1030" w:type="dxa"/>
            <w:tcBorders>
              <w:top w:val="nil"/>
              <w:left w:val="nil"/>
              <w:bottom w:val="nil"/>
              <w:right w:val="nil"/>
            </w:tcBorders>
            <w:shd w:val="clear" w:color="auto" w:fill="auto"/>
            <w:noWrap/>
            <w:vAlign w:val="bottom"/>
            <w:hideMark/>
          </w:tcPr>
          <w:p w14:paraId="6402BFEA"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58896B5E"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-0.03</w:t>
            </w:r>
          </w:p>
        </w:tc>
        <w:tc>
          <w:tcPr>
            <w:tcW w:w="851" w:type="dxa"/>
            <w:tcBorders>
              <w:top w:val="nil"/>
              <w:left w:val="nil"/>
              <w:bottom w:val="nil"/>
              <w:right w:val="nil"/>
            </w:tcBorders>
            <w:shd w:val="clear" w:color="auto" w:fill="auto"/>
            <w:noWrap/>
            <w:vAlign w:val="bottom"/>
            <w:hideMark/>
          </w:tcPr>
          <w:p w14:paraId="2AE8DC8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-0.06</w:t>
            </w:r>
          </w:p>
        </w:tc>
        <w:tc>
          <w:tcPr>
            <w:tcW w:w="992" w:type="dxa"/>
            <w:tcBorders>
              <w:top w:val="nil"/>
              <w:left w:val="nil"/>
              <w:bottom w:val="nil"/>
              <w:right w:val="nil"/>
            </w:tcBorders>
            <w:shd w:val="clear" w:color="auto" w:fill="auto"/>
            <w:noWrap/>
            <w:vAlign w:val="bottom"/>
            <w:hideMark/>
          </w:tcPr>
          <w:p w14:paraId="4261DA2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0.7</w:t>
            </w:r>
          </w:p>
        </w:tc>
        <w:tc>
          <w:tcPr>
            <w:tcW w:w="851" w:type="dxa"/>
            <w:tcBorders>
              <w:top w:val="nil"/>
              <w:left w:val="nil"/>
              <w:bottom w:val="nil"/>
              <w:right w:val="nil"/>
            </w:tcBorders>
            <w:shd w:val="clear" w:color="auto" w:fill="auto"/>
            <w:noWrap/>
            <w:vAlign w:val="bottom"/>
            <w:hideMark/>
          </w:tcPr>
          <w:p w14:paraId="3EFBB8BB"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0.81</w:t>
            </w:r>
          </w:p>
        </w:tc>
      </w:tr>
      <w:tr w:rsidR="009C5696" w:rsidRPr="00E111CF" w14:paraId="07700688"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2BBDE2F2" w14:textId="25F3AD9E"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 xml:space="preserve">Corruption </w:t>
            </w:r>
          </w:p>
        </w:tc>
        <w:tc>
          <w:tcPr>
            <w:tcW w:w="1030" w:type="dxa"/>
            <w:tcBorders>
              <w:top w:val="nil"/>
              <w:left w:val="nil"/>
              <w:bottom w:val="nil"/>
              <w:right w:val="nil"/>
            </w:tcBorders>
            <w:shd w:val="clear" w:color="auto" w:fill="auto"/>
            <w:noWrap/>
            <w:vAlign w:val="bottom"/>
            <w:hideMark/>
          </w:tcPr>
          <w:p w14:paraId="2EB83043"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6B2045B7"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0.55</w:t>
            </w:r>
          </w:p>
        </w:tc>
        <w:tc>
          <w:tcPr>
            <w:tcW w:w="851" w:type="dxa"/>
            <w:tcBorders>
              <w:top w:val="nil"/>
              <w:left w:val="nil"/>
              <w:bottom w:val="nil"/>
              <w:right w:val="nil"/>
            </w:tcBorders>
            <w:shd w:val="clear" w:color="auto" w:fill="auto"/>
            <w:noWrap/>
            <w:vAlign w:val="bottom"/>
            <w:hideMark/>
          </w:tcPr>
          <w:p w14:paraId="501F7358"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0.16</w:t>
            </w:r>
          </w:p>
        </w:tc>
        <w:tc>
          <w:tcPr>
            <w:tcW w:w="992" w:type="dxa"/>
            <w:tcBorders>
              <w:top w:val="nil"/>
              <w:left w:val="nil"/>
              <w:bottom w:val="nil"/>
              <w:right w:val="nil"/>
            </w:tcBorders>
            <w:shd w:val="clear" w:color="auto" w:fill="auto"/>
            <w:noWrap/>
            <w:vAlign w:val="bottom"/>
            <w:hideMark/>
          </w:tcPr>
          <w:p w14:paraId="6198C62B"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0.67</w:t>
            </w:r>
          </w:p>
        </w:tc>
        <w:tc>
          <w:tcPr>
            <w:tcW w:w="851" w:type="dxa"/>
            <w:tcBorders>
              <w:top w:val="nil"/>
              <w:left w:val="nil"/>
              <w:bottom w:val="nil"/>
              <w:right w:val="nil"/>
            </w:tcBorders>
            <w:shd w:val="clear" w:color="auto" w:fill="auto"/>
            <w:noWrap/>
            <w:vAlign w:val="bottom"/>
            <w:hideMark/>
          </w:tcPr>
          <w:p w14:paraId="3CF7393C"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0.89</w:t>
            </w:r>
          </w:p>
        </w:tc>
      </w:tr>
      <w:tr w:rsidR="009C5696" w:rsidRPr="00E111CF" w14:paraId="68A6C072"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FB7444E" w14:textId="26E18A53"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Education</w:t>
            </w:r>
          </w:p>
        </w:tc>
        <w:tc>
          <w:tcPr>
            <w:tcW w:w="1030" w:type="dxa"/>
            <w:tcBorders>
              <w:top w:val="nil"/>
              <w:left w:val="nil"/>
              <w:bottom w:val="nil"/>
              <w:right w:val="nil"/>
            </w:tcBorders>
            <w:shd w:val="clear" w:color="auto" w:fill="auto"/>
            <w:noWrap/>
            <w:vAlign w:val="bottom"/>
            <w:hideMark/>
          </w:tcPr>
          <w:p w14:paraId="64C44750"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58F0C651"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0.14</w:t>
            </w:r>
          </w:p>
        </w:tc>
        <w:tc>
          <w:tcPr>
            <w:tcW w:w="851" w:type="dxa"/>
            <w:tcBorders>
              <w:top w:val="nil"/>
              <w:left w:val="nil"/>
              <w:bottom w:val="nil"/>
              <w:right w:val="nil"/>
            </w:tcBorders>
            <w:shd w:val="clear" w:color="auto" w:fill="auto"/>
            <w:noWrap/>
            <w:vAlign w:val="bottom"/>
            <w:hideMark/>
          </w:tcPr>
          <w:p w14:paraId="27F4EDBD"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-0.02</w:t>
            </w:r>
          </w:p>
        </w:tc>
        <w:tc>
          <w:tcPr>
            <w:tcW w:w="992" w:type="dxa"/>
            <w:tcBorders>
              <w:top w:val="nil"/>
              <w:left w:val="nil"/>
              <w:bottom w:val="nil"/>
              <w:right w:val="nil"/>
            </w:tcBorders>
            <w:shd w:val="clear" w:color="auto" w:fill="auto"/>
            <w:noWrap/>
            <w:vAlign w:val="bottom"/>
            <w:hideMark/>
          </w:tcPr>
          <w:p w14:paraId="7A513D1B"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0.83</w:t>
            </w:r>
          </w:p>
        </w:tc>
        <w:tc>
          <w:tcPr>
            <w:tcW w:w="851" w:type="dxa"/>
            <w:tcBorders>
              <w:top w:val="nil"/>
              <w:left w:val="nil"/>
              <w:bottom w:val="nil"/>
              <w:right w:val="nil"/>
            </w:tcBorders>
            <w:shd w:val="clear" w:color="auto" w:fill="auto"/>
            <w:noWrap/>
            <w:vAlign w:val="bottom"/>
            <w:hideMark/>
          </w:tcPr>
          <w:p w14:paraId="19A21FA9"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0.89</w:t>
            </w:r>
          </w:p>
        </w:tc>
      </w:tr>
      <w:tr w:rsidR="009C5696" w:rsidRPr="00E111CF" w14:paraId="7A718156"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031B984" w14:textId="2FD752FF" w:rsidR="009C5696" w:rsidRPr="009C5696"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Revolutions in the same region</w:t>
            </w:r>
          </w:p>
        </w:tc>
        <w:tc>
          <w:tcPr>
            <w:tcW w:w="1030" w:type="dxa"/>
            <w:tcBorders>
              <w:top w:val="nil"/>
              <w:left w:val="nil"/>
              <w:bottom w:val="nil"/>
              <w:right w:val="nil"/>
            </w:tcBorders>
            <w:shd w:val="clear" w:color="auto" w:fill="auto"/>
            <w:noWrap/>
            <w:vAlign w:val="bottom"/>
            <w:hideMark/>
          </w:tcPr>
          <w:p w14:paraId="6EA6F091"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1567CEEF"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0.26</w:t>
            </w:r>
          </w:p>
        </w:tc>
        <w:tc>
          <w:tcPr>
            <w:tcW w:w="851" w:type="dxa"/>
            <w:tcBorders>
              <w:top w:val="nil"/>
              <w:left w:val="nil"/>
              <w:bottom w:val="nil"/>
              <w:right w:val="nil"/>
            </w:tcBorders>
            <w:shd w:val="clear" w:color="auto" w:fill="auto"/>
            <w:noWrap/>
            <w:vAlign w:val="bottom"/>
            <w:hideMark/>
          </w:tcPr>
          <w:p w14:paraId="4A7A5BA6" w14:textId="77777777"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eastAsia="Times New Roman" w:cs="Times New Roman"/>
                <w:b/>
                <w:bCs/>
                <w:color w:val="000000"/>
                <w:szCs w:val="24"/>
                <w:lang w:eastAsia="ru-RU"/>
              </w:rPr>
              <w:t>-0.46</w:t>
            </w:r>
          </w:p>
        </w:tc>
        <w:tc>
          <w:tcPr>
            <w:tcW w:w="992" w:type="dxa"/>
            <w:tcBorders>
              <w:top w:val="nil"/>
              <w:left w:val="nil"/>
              <w:bottom w:val="nil"/>
              <w:right w:val="nil"/>
            </w:tcBorders>
            <w:shd w:val="clear" w:color="auto" w:fill="auto"/>
            <w:noWrap/>
            <w:vAlign w:val="bottom"/>
            <w:hideMark/>
          </w:tcPr>
          <w:p w14:paraId="531ACB51" w14:textId="65736D7A" w:rsidR="009C5696" w:rsidRPr="00DC1371" w:rsidRDefault="009C5696" w:rsidP="009C5696">
            <w:pPr>
              <w:spacing w:line="240" w:lineRule="auto"/>
              <w:jc w:val="center"/>
              <w:rPr>
                <w:rFonts w:eastAsia="Times New Roman" w:cs="Times New Roman"/>
                <w:color w:val="000000"/>
                <w:szCs w:val="24"/>
                <w:lang w:eastAsia="ru-RU"/>
              </w:rPr>
            </w:pPr>
          </w:p>
        </w:tc>
        <w:tc>
          <w:tcPr>
            <w:tcW w:w="851" w:type="dxa"/>
            <w:tcBorders>
              <w:top w:val="nil"/>
              <w:left w:val="nil"/>
              <w:bottom w:val="nil"/>
              <w:right w:val="nil"/>
            </w:tcBorders>
            <w:shd w:val="clear" w:color="auto" w:fill="auto"/>
            <w:noWrap/>
            <w:vAlign w:val="bottom"/>
            <w:hideMark/>
          </w:tcPr>
          <w:p w14:paraId="45F6BE5D" w14:textId="183BE0A0" w:rsidR="009C5696" w:rsidRPr="00DC1371" w:rsidRDefault="009C5696" w:rsidP="009C5696">
            <w:pPr>
              <w:spacing w:line="240" w:lineRule="auto"/>
              <w:jc w:val="center"/>
              <w:rPr>
                <w:rFonts w:eastAsia="Times New Roman" w:cs="Times New Roman"/>
                <w:color w:val="000000"/>
                <w:szCs w:val="24"/>
                <w:lang w:eastAsia="ru-RU"/>
              </w:rPr>
            </w:pPr>
          </w:p>
        </w:tc>
      </w:tr>
      <w:tr w:rsidR="009C5696" w:rsidRPr="00E111CF" w14:paraId="19FC9789" w14:textId="77777777" w:rsidTr="00FB60AF">
        <w:trPr>
          <w:trHeight w:val="300"/>
          <w:jc w:val="center"/>
        </w:trPr>
        <w:tc>
          <w:tcPr>
            <w:tcW w:w="2549" w:type="dxa"/>
            <w:tcBorders>
              <w:top w:val="nil"/>
              <w:left w:val="nil"/>
              <w:bottom w:val="single" w:sz="4" w:space="0" w:color="auto"/>
              <w:right w:val="nil"/>
            </w:tcBorders>
            <w:shd w:val="clear" w:color="auto" w:fill="auto"/>
            <w:noWrap/>
            <w:vAlign w:val="bottom"/>
            <w:hideMark/>
          </w:tcPr>
          <w:p w14:paraId="6F7BAF35" w14:textId="441E8917"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Revolutions in the past</w:t>
            </w:r>
          </w:p>
        </w:tc>
        <w:tc>
          <w:tcPr>
            <w:tcW w:w="1030" w:type="dxa"/>
            <w:tcBorders>
              <w:top w:val="nil"/>
              <w:left w:val="nil"/>
              <w:bottom w:val="single" w:sz="4" w:space="0" w:color="auto"/>
              <w:right w:val="nil"/>
            </w:tcBorders>
            <w:shd w:val="clear" w:color="auto" w:fill="auto"/>
            <w:noWrap/>
            <w:vAlign w:val="bottom"/>
            <w:hideMark/>
          </w:tcPr>
          <w:p w14:paraId="76FD84E7"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single" w:sz="4" w:space="0" w:color="auto"/>
              <w:right w:val="nil"/>
            </w:tcBorders>
            <w:shd w:val="clear" w:color="auto" w:fill="auto"/>
            <w:noWrap/>
            <w:vAlign w:val="bottom"/>
            <w:hideMark/>
          </w:tcPr>
          <w:p w14:paraId="76E08D79"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0.52</w:t>
            </w:r>
          </w:p>
        </w:tc>
        <w:tc>
          <w:tcPr>
            <w:tcW w:w="851" w:type="dxa"/>
            <w:tcBorders>
              <w:top w:val="nil"/>
              <w:left w:val="nil"/>
              <w:bottom w:val="single" w:sz="4" w:space="0" w:color="auto"/>
              <w:right w:val="nil"/>
            </w:tcBorders>
            <w:shd w:val="clear" w:color="auto" w:fill="auto"/>
            <w:noWrap/>
            <w:vAlign w:val="bottom"/>
            <w:hideMark/>
          </w:tcPr>
          <w:p w14:paraId="1FA04907"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0.18</w:t>
            </w:r>
          </w:p>
        </w:tc>
        <w:tc>
          <w:tcPr>
            <w:tcW w:w="992" w:type="dxa"/>
            <w:tcBorders>
              <w:top w:val="nil"/>
              <w:left w:val="nil"/>
              <w:bottom w:val="single" w:sz="4" w:space="0" w:color="auto"/>
              <w:right w:val="nil"/>
            </w:tcBorders>
            <w:shd w:val="clear" w:color="auto" w:fill="auto"/>
            <w:noWrap/>
            <w:vAlign w:val="bottom"/>
            <w:hideMark/>
          </w:tcPr>
          <w:p w14:paraId="631E64F0"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2.62</w:t>
            </w:r>
          </w:p>
        </w:tc>
        <w:tc>
          <w:tcPr>
            <w:tcW w:w="851" w:type="dxa"/>
            <w:tcBorders>
              <w:top w:val="nil"/>
              <w:left w:val="nil"/>
              <w:bottom w:val="single" w:sz="4" w:space="0" w:color="auto"/>
              <w:right w:val="nil"/>
            </w:tcBorders>
            <w:shd w:val="clear" w:color="auto" w:fill="auto"/>
            <w:noWrap/>
            <w:vAlign w:val="bottom"/>
            <w:hideMark/>
          </w:tcPr>
          <w:p w14:paraId="20132B66" w14:textId="77777777" w:rsidR="009C5696" w:rsidRPr="00DC1371" w:rsidRDefault="009C5696" w:rsidP="009C5696">
            <w:pPr>
              <w:spacing w:line="240" w:lineRule="auto"/>
              <w:jc w:val="center"/>
              <w:rPr>
                <w:rFonts w:eastAsia="Times New Roman" w:cs="Times New Roman"/>
                <w:color w:val="000000"/>
                <w:szCs w:val="24"/>
                <w:lang w:eastAsia="ru-RU"/>
              </w:rPr>
            </w:pPr>
            <w:r w:rsidRPr="00DC1371">
              <w:rPr>
                <w:rFonts w:eastAsia="Times New Roman" w:cs="Times New Roman"/>
                <w:color w:val="000000"/>
                <w:szCs w:val="24"/>
                <w:lang w:eastAsia="ru-RU"/>
              </w:rPr>
              <w:t>1.38</w:t>
            </w:r>
          </w:p>
        </w:tc>
      </w:tr>
      <w:tr w:rsidR="005C3DDB" w:rsidRPr="005443CF" w14:paraId="6112EE02" w14:textId="77777777" w:rsidTr="00FB60AF">
        <w:trPr>
          <w:trHeight w:val="300"/>
          <w:jc w:val="center"/>
        </w:trPr>
        <w:tc>
          <w:tcPr>
            <w:tcW w:w="7230" w:type="dxa"/>
            <w:gridSpan w:val="6"/>
            <w:tcBorders>
              <w:top w:val="single" w:sz="4" w:space="0" w:color="auto"/>
              <w:left w:val="nil"/>
              <w:bottom w:val="nil"/>
              <w:right w:val="nil"/>
            </w:tcBorders>
            <w:shd w:val="clear" w:color="auto" w:fill="auto"/>
            <w:noWrap/>
            <w:vAlign w:val="bottom"/>
          </w:tcPr>
          <w:p w14:paraId="493A6A75" w14:textId="3D7B63EA" w:rsidR="005C3DDB" w:rsidRPr="009C5696" w:rsidRDefault="009C5696" w:rsidP="009C5696">
            <w:pPr>
              <w:spacing w:after="0"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Note: as statistic for balance metrics are gotten averages across 50 imputed datasets; statistic the exceeds critical point is bolded</w:t>
            </w:r>
          </w:p>
        </w:tc>
      </w:tr>
    </w:tbl>
    <w:p w14:paraId="3D5579CF" w14:textId="77777777" w:rsidR="008467E9" w:rsidRDefault="008467E9" w:rsidP="00F158E3">
      <w:pPr>
        <w:rPr>
          <w:rFonts w:eastAsiaTheme="minorEastAsia"/>
          <w:lang w:val="en-US"/>
        </w:rPr>
      </w:pPr>
    </w:p>
    <w:p w14:paraId="0F959791" w14:textId="41B4DFD3" w:rsidR="008467E9" w:rsidRDefault="008467E9" w:rsidP="00F158E3">
      <w:pPr>
        <w:rPr>
          <w:rFonts w:eastAsiaTheme="minorEastAsia"/>
          <w:lang w:val="en-US"/>
        </w:rPr>
      </w:pPr>
      <w:r>
        <w:rPr>
          <w:rFonts w:eastAsiaTheme="minorEastAsia"/>
          <w:lang w:val="en-US"/>
        </w:rPr>
        <w:t xml:space="preserve">In case of Beissinger’s extended data cases (see Table 2) with nearest matching, the overall balance is worse comparing with NAVCO 1.3 data that is a product of a smaller number of cases. However, </w:t>
      </w:r>
      <w:r w:rsidRPr="008467E9">
        <w:rPr>
          <w:rFonts w:eastAsiaTheme="minorEastAsia"/>
          <w:lang w:val="en-US"/>
        </w:rPr>
        <w:lastRenderedPageBreak/>
        <w:t>there is no crossing of the decisive boundary for any variable by two indicators (</w:t>
      </w:r>
      <w:r>
        <w:rPr>
          <w:rFonts w:eastAsiaTheme="minorEastAsia"/>
          <w:lang w:val="en-US"/>
        </w:rPr>
        <w:t>SMD and VR</w:t>
      </w:r>
      <w:r w:rsidRPr="008467E9">
        <w:rPr>
          <w:rFonts w:eastAsiaTheme="minorEastAsia"/>
          <w:lang w:val="en-US"/>
        </w:rPr>
        <w:t>) at once.</w:t>
      </w:r>
      <w:r w:rsidR="007D23C4">
        <w:rPr>
          <w:rFonts w:eastAsiaTheme="minorEastAsia"/>
          <w:lang w:val="en-US"/>
        </w:rPr>
        <w:t xml:space="preserve"> </w:t>
      </w:r>
    </w:p>
    <w:tbl>
      <w:tblPr>
        <w:tblW w:w="7230" w:type="dxa"/>
        <w:jc w:val="center"/>
        <w:tblLook w:val="04A0" w:firstRow="1" w:lastRow="0" w:firstColumn="1" w:lastColumn="0" w:noHBand="0" w:noVBand="1"/>
      </w:tblPr>
      <w:tblGrid>
        <w:gridCol w:w="2549"/>
        <w:gridCol w:w="1030"/>
        <w:gridCol w:w="957"/>
        <w:gridCol w:w="851"/>
        <w:gridCol w:w="992"/>
        <w:gridCol w:w="851"/>
      </w:tblGrid>
      <w:tr w:rsidR="005C3DDB" w:rsidRPr="005443CF" w14:paraId="369FAEC6" w14:textId="77777777" w:rsidTr="00FB60AF">
        <w:trPr>
          <w:trHeight w:val="300"/>
          <w:jc w:val="center"/>
        </w:trPr>
        <w:tc>
          <w:tcPr>
            <w:tcW w:w="7230" w:type="dxa"/>
            <w:gridSpan w:val="6"/>
            <w:tcBorders>
              <w:top w:val="nil"/>
              <w:left w:val="nil"/>
              <w:bottom w:val="single" w:sz="4" w:space="0" w:color="auto"/>
              <w:right w:val="nil"/>
            </w:tcBorders>
            <w:shd w:val="clear" w:color="auto" w:fill="auto"/>
            <w:noWrap/>
            <w:vAlign w:val="bottom"/>
          </w:tcPr>
          <w:p w14:paraId="7F45DF97" w14:textId="0301F248" w:rsidR="005C3DDB" w:rsidRPr="009C5696" w:rsidRDefault="005C3DDB" w:rsidP="00E111CF">
            <w:pPr>
              <w:spacing w:after="0" w:line="240" w:lineRule="auto"/>
              <w:jc w:val="left"/>
              <w:rPr>
                <w:rFonts w:eastAsia="Times New Roman" w:cs="Times New Roman"/>
                <w:color w:val="000000"/>
                <w:szCs w:val="24"/>
                <w:lang w:val="en-US" w:eastAsia="ru-RU"/>
              </w:rPr>
            </w:pPr>
            <w:r w:rsidRPr="00E111CF">
              <w:rPr>
                <w:rFonts w:eastAsia="Times New Roman" w:cs="Times New Roman"/>
                <w:color w:val="000000"/>
                <w:szCs w:val="24"/>
                <w:lang w:val="en-US" w:eastAsia="ru-RU"/>
              </w:rPr>
              <w:t xml:space="preserve">Table </w:t>
            </w:r>
            <w:r w:rsidR="000F2FB5">
              <w:rPr>
                <w:rFonts w:eastAsia="Times New Roman" w:cs="Times New Roman"/>
                <w:color w:val="000000"/>
                <w:szCs w:val="24"/>
                <w:lang w:val="en-US" w:eastAsia="ru-RU"/>
              </w:rPr>
              <w:t>2</w:t>
            </w:r>
            <w:r w:rsidRPr="00E111CF">
              <w:rPr>
                <w:rFonts w:eastAsia="Times New Roman" w:cs="Times New Roman"/>
                <w:color w:val="000000"/>
                <w:szCs w:val="24"/>
                <w:lang w:val="en-US" w:eastAsia="ru-RU"/>
              </w:rPr>
              <w:t xml:space="preserve">. </w:t>
            </w:r>
            <w:r w:rsidR="009C5696">
              <w:rPr>
                <w:rFonts w:eastAsia="Times New Roman" w:cs="Times New Roman"/>
                <w:color w:val="000000"/>
                <w:szCs w:val="24"/>
                <w:lang w:val="en-US" w:eastAsia="ru-RU"/>
              </w:rPr>
              <w:t xml:space="preserve">Balance of </w:t>
            </w:r>
            <w:r w:rsidRPr="00E111CF">
              <w:rPr>
                <w:rFonts w:eastAsia="Times New Roman" w:cs="Times New Roman"/>
                <w:color w:val="000000"/>
                <w:szCs w:val="24"/>
                <w:lang w:val="en-US" w:eastAsia="ru-RU"/>
              </w:rPr>
              <w:t>Beissinger’s extended data</w:t>
            </w:r>
            <w:r w:rsidR="009C5696">
              <w:rPr>
                <w:rFonts w:eastAsia="Times New Roman" w:cs="Times New Roman"/>
                <w:color w:val="000000"/>
                <w:szCs w:val="24"/>
                <w:lang w:val="en-US" w:eastAsia="ru-RU"/>
              </w:rPr>
              <w:t xml:space="preserve"> cases. </w:t>
            </w:r>
          </w:p>
        </w:tc>
      </w:tr>
      <w:tr w:rsidR="00E111CF" w:rsidRPr="00E111CF" w14:paraId="0DF8D9E8" w14:textId="77777777" w:rsidTr="00FB60AF">
        <w:trPr>
          <w:trHeight w:val="300"/>
          <w:jc w:val="center"/>
        </w:trPr>
        <w:tc>
          <w:tcPr>
            <w:tcW w:w="2549" w:type="dxa"/>
            <w:tcBorders>
              <w:top w:val="single" w:sz="4" w:space="0" w:color="auto"/>
              <w:left w:val="nil"/>
              <w:bottom w:val="single" w:sz="4" w:space="0" w:color="auto"/>
              <w:right w:val="nil"/>
            </w:tcBorders>
            <w:shd w:val="clear" w:color="auto" w:fill="auto"/>
            <w:noWrap/>
            <w:vAlign w:val="bottom"/>
            <w:hideMark/>
          </w:tcPr>
          <w:p w14:paraId="41B049E4" w14:textId="540EFFD0" w:rsidR="00E111CF" w:rsidRPr="00DC1371" w:rsidRDefault="00E111CF" w:rsidP="00E111CF">
            <w:pPr>
              <w:spacing w:after="0" w:line="240" w:lineRule="auto"/>
              <w:jc w:val="left"/>
              <w:rPr>
                <w:rFonts w:eastAsia="Times New Roman" w:cs="Times New Roman"/>
                <w:color w:val="000000"/>
                <w:szCs w:val="24"/>
                <w:lang w:eastAsia="ru-RU"/>
              </w:rPr>
            </w:pPr>
            <w:r w:rsidRPr="00E111CF">
              <w:rPr>
                <w:rFonts w:eastAsia="Times New Roman" w:cs="Times New Roman"/>
                <w:color w:val="000000"/>
                <w:szCs w:val="24"/>
                <w:lang w:val="en-US" w:eastAsia="ru-RU"/>
              </w:rPr>
              <w:t xml:space="preserve">Variable </w:t>
            </w:r>
          </w:p>
        </w:tc>
        <w:tc>
          <w:tcPr>
            <w:tcW w:w="1030" w:type="dxa"/>
            <w:tcBorders>
              <w:top w:val="single" w:sz="4" w:space="0" w:color="auto"/>
              <w:left w:val="nil"/>
              <w:bottom w:val="single" w:sz="4" w:space="0" w:color="auto"/>
              <w:right w:val="nil"/>
            </w:tcBorders>
            <w:shd w:val="clear" w:color="auto" w:fill="auto"/>
            <w:noWrap/>
            <w:vAlign w:val="bottom"/>
            <w:hideMark/>
          </w:tcPr>
          <w:p w14:paraId="230F7B95" w14:textId="59BE1C9A" w:rsidR="00E111CF" w:rsidRPr="00DC1371" w:rsidRDefault="00E111CF" w:rsidP="00E111CF">
            <w:pPr>
              <w:spacing w:after="0" w:line="240" w:lineRule="auto"/>
              <w:jc w:val="left"/>
              <w:rPr>
                <w:rFonts w:eastAsia="Times New Roman" w:cs="Times New Roman"/>
                <w:color w:val="000000"/>
                <w:szCs w:val="24"/>
                <w:lang w:eastAsia="ru-RU"/>
              </w:rPr>
            </w:pPr>
            <w:proofErr w:type="spellStart"/>
            <w:r w:rsidRPr="00E111CF">
              <w:rPr>
                <w:rFonts w:eastAsia="Times New Roman" w:cs="Times New Roman"/>
                <w:color w:val="000000"/>
                <w:szCs w:val="24"/>
                <w:lang w:val="en-US" w:eastAsia="ru-RU"/>
              </w:rPr>
              <w:t>Mathing</w:t>
            </w:r>
            <w:proofErr w:type="spellEnd"/>
          </w:p>
        </w:tc>
        <w:tc>
          <w:tcPr>
            <w:tcW w:w="957" w:type="dxa"/>
            <w:tcBorders>
              <w:top w:val="single" w:sz="4" w:space="0" w:color="auto"/>
              <w:left w:val="nil"/>
              <w:bottom w:val="single" w:sz="4" w:space="0" w:color="auto"/>
              <w:right w:val="nil"/>
            </w:tcBorders>
            <w:shd w:val="clear" w:color="auto" w:fill="auto"/>
            <w:noWrap/>
            <w:vAlign w:val="bottom"/>
            <w:hideMark/>
          </w:tcPr>
          <w:p w14:paraId="0189C35E" w14:textId="1AB04A32" w:rsidR="00E111CF" w:rsidRPr="00E111CF" w:rsidRDefault="00E111CF" w:rsidP="00E111CF">
            <w:pPr>
              <w:spacing w:after="0"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SMD</w:t>
            </w:r>
          </w:p>
          <w:p w14:paraId="2404CF1C" w14:textId="781B2B77" w:rsidR="00E111CF" w:rsidRPr="00DC1371" w:rsidRDefault="00E111CF" w:rsidP="00E111CF">
            <w:pPr>
              <w:spacing w:after="0" w:line="240" w:lineRule="auto"/>
              <w:jc w:val="center"/>
              <w:rPr>
                <w:rFonts w:eastAsia="Times New Roman" w:cs="Times New Roman"/>
                <w:color w:val="000000"/>
                <w:szCs w:val="24"/>
                <w:lang w:eastAsia="ru-RU"/>
              </w:rPr>
            </w:pPr>
            <w:r w:rsidRPr="00E111CF">
              <w:rPr>
                <w:rFonts w:eastAsia="Times New Roman" w:cs="Times New Roman"/>
                <w:color w:val="000000"/>
                <w:szCs w:val="24"/>
                <w:lang w:val="en-US" w:eastAsia="ru-RU"/>
              </w:rPr>
              <w:t>before</w:t>
            </w:r>
          </w:p>
        </w:tc>
        <w:tc>
          <w:tcPr>
            <w:tcW w:w="851" w:type="dxa"/>
            <w:tcBorders>
              <w:top w:val="single" w:sz="4" w:space="0" w:color="auto"/>
              <w:left w:val="nil"/>
              <w:bottom w:val="single" w:sz="4" w:space="0" w:color="auto"/>
              <w:right w:val="nil"/>
            </w:tcBorders>
            <w:shd w:val="clear" w:color="auto" w:fill="auto"/>
            <w:noWrap/>
            <w:vAlign w:val="bottom"/>
            <w:hideMark/>
          </w:tcPr>
          <w:p w14:paraId="63D46AF0" w14:textId="455F6320" w:rsidR="00E111CF" w:rsidRPr="00E111CF" w:rsidRDefault="00E111CF" w:rsidP="00E111CF">
            <w:pPr>
              <w:spacing w:after="0"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SMD</w:t>
            </w:r>
          </w:p>
          <w:p w14:paraId="678A1FB0" w14:textId="776A95DE" w:rsidR="00E111CF" w:rsidRPr="00DC1371" w:rsidRDefault="00E111CF" w:rsidP="00E111CF">
            <w:pPr>
              <w:spacing w:after="0" w:line="240" w:lineRule="auto"/>
              <w:jc w:val="center"/>
              <w:rPr>
                <w:rFonts w:eastAsia="Times New Roman" w:cs="Times New Roman"/>
                <w:color w:val="000000"/>
                <w:szCs w:val="24"/>
                <w:lang w:eastAsia="ru-RU"/>
              </w:rPr>
            </w:pPr>
            <w:r w:rsidRPr="00E111CF">
              <w:rPr>
                <w:rFonts w:eastAsia="Times New Roman" w:cs="Times New Roman"/>
                <w:color w:val="000000"/>
                <w:szCs w:val="24"/>
                <w:lang w:val="en-US" w:eastAsia="ru-RU"/>
              </w:rPr>
              <w:t>after</w:t>
            </w:r>
          </w:p>
        </w:tc>
        <w:tc>
          <w:tcPr>
            <w:tcW w:w="992" w:type="dxa"/>
            <w:tcBorders>
              <w:top w:val="single" w:sz="4" w:space="0" w:color="auto"/>
              <w:left w:val="nil"/>
              <w:bottom w:val="single" w:sz="4" w:space="0" w:color="auto"/>
              <w:right w:val="nil"/>
            </w:tcBorders>
            <w:shd w:val="clear" w:color="auto" w:fill="auto"/>
            <w:noWrap/>
            <w:vAlign w:val="bottom"/>
            <w:hideMark/>
          </w:tcPr>
          <w:p w14:paraId="0C72C695" w14:textId="77777777" w:rsidR="00E111CF" w:rsidRPr="00E111CF" w:rsidRDefault="00E111CF" w:rsidP="00E111CF">
            <w:pPr>
              <w:spacing w:after="0"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VR</w:t>
            </w:r>
          </w:p>
          <w:p w14:paraId="38EE9DD2" w14:textId="2A390770" w:rsidR="00E111CF" w:rsidRPr="00DC1371" w:rsidRDefault="00E111CF" w:rsidP="00E111CF">
            <w:pPr>
              <w:spacing w:after="0" w:line="240" w:lineRule="auto"/>
              <w:jc w:val="center"/>
              <w:rPr>
                <w:rFonts w:eastAsia="Times New Roman" w:cs="Times New Roman"/>
                <w:color w:val="000000"/>
                <w:szCs w:val="24"/>
                <w:lang w:eastAsia="ru-RU"/>
              </w:rPr>
            </w:pPr>
            <w:r w:rsidRPr="00E111CF">
              <w:rPr>
                <w:rFonts w:eastAsia="Times New Roman" w:cs="Times New Roman"/>
                <w:color w:val="000000"/>
                <w:szCs w:val="24"/>
                <w:lang w:val="en-US" w:eastAsia="ru-RU"/>
              </w:rPr>
              <w:t>before</w:t>
            </w:r>
          </w:p>
        </w:tc>
        <w:tc>
          <w:tcPr>
            <w:tcW w:w="851" w:type="dxa"/>
            <w:tcBorders>
              <w:top w:val="single" w:sz="4" w:space="0" w:color="auto"/>
              <w:left w:val="nil"/>
              <w:bottom w:val="single" w:sz="4" w:space="0" w:color="auto"/>
              <w:right w:val="nil"/>
            </w:tcBorders>
            <w:shd w:val="clear" w:color="auto" w:fill="auto"/>
            <w:noWrap/>
            <w:vAlign w:val="bottom"/>
            <w:hideMark/>
          </w:tcPr>
          <w:p w14:paraId="54FC448D" w14:textId="77777777" w:rsidR="00E111CF" w:rsidRPr="00E111CF" w:rsidRDefault="00E111CF" w:rsidP="00E111CF">
            <w:pPr>
              <w:spacing w:after="0" w:line="240" w:lineRule="auto"/>
              <w:jc w:val="center"/>
              <w:rPr>
                <w:rFonts w:eastAsia="Times New Roman" w:cs="Times New Roman"/>
                <w:color w:val="000000"/>
                <w:szCs w:val="24"/>
                <w:lang w:val="en-US" w:eastAsia="ru-RU"/>
              </w:rPr>
            </w:pPr>
            <w:r w:rsidRPr="00E111CF">
              <w:rPr>
                <w:rFonts w:eastAsia="Times New Roman" w:cs="Times New Roman"/>
                <w:color w:val="000000"/>
                <w:szCs w:val="24"/>
                <w:lang w:val="en-US" w:eastAsia="ru-RU"/>
              </w:rPr>
              <w:t>VR</w:t>
            </w:r>
          </w:p>
          <w:p w14:paraId="352956EF" w14:textId="6CDEAFE2" w:rsidR="00E111CF" w:rsidRPr="00DC1371" w:rsidRDefault="00E111CF" w:rsidP="00E111CF">
            <w:pPr>
              <w:spacing w:after="0" w:line="240" w:lineRule="auto"/>
              <w:jc w:val="center"/>
              <w:rPr>
                <w:rFonts w:eastAsia="Times New Roman" w:cs="Times New Roman"/>
                <w:color w:val="000000"/>
                <w:szCs w:val="24"/>
                <w:lang w:eastAsia="ru-RU"/>
              </w:rPr>
            </w:pPr>
            <w:r w:rsidRPr="00E111CF">
              <w:rPr>
                <w:rFonts w:eastAsia="Times New Roman" w:cs="Times New Roman"/>
                <w:color w:val="000000"/>
                <w:szCs w:val="24"/>
                <w:lang w:val="en-US" w:eastAsia="ru-RU"/>
              </w:rPr>
              <w:t>after</w:t>
            </w:r>
          </w:p>
        </w:tc>
      </w:tr>
      <w:tr w:rsidR="009C5696" w:rsidRPr="00E111CF" w14:paraId="1B1A875F" w14:textId="77777777" w:rsidTr="005D52B9">
        <w:trPr>
          <w:trHeight w:val="300"/>
          <w:jc w:val="center"/>
        </w:trPr>
        <w:tc>
          <w:tcPr>
            <w:tcW w:w="2549" w:type="dxa"/>
            <w:tcBorders>
              <w:top w:val="single" w:sz="4" w:space="0" w:color="auto"/>
              <w:left w:val="nil"/>
              <w:bottom w:val="nil"/>
              <w:right w:val="nil"/>
            </w:tcBorders>
            <w:shd w:val="clear" w:color="auto" w:fill="auto"/>
            <w:noWrap/>
            <w:vAlign w:val="center"/>
            <w:hideMark/>
          </w:tcPr>
          <w:p w14:paraId="1ECC4CE9" w14:textId="3370069F"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Economic growth, 5-year average</w:t>
            </w:r>
          </w:p>
        </w:tc>
        <w:tc>
          <w:tcPr>
            <w:tcW w:w="1030" w:type="dxa"/>
            <w:tcBorders>
              <w:top w:val="single" w:sz="4" w:space="0" w:color="auto"/>
              <w:left w:val="nil"/>
              <w:bottom w:val="nil"/>
              <w:right w:val="nil"/>
            </w:tcBorders>
            <w:shd w:val="clear" w:color="auto" w:fill="auto"/>
            <w:noWrap/>
            <w:vAlign w:val="bottom"/>
            <w:hideMark/>
          </w:tcPr>
          <w:p w14:paraId="1EAF3FE4"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single" w:sz="4" w:space="0" w:color="auto"/>
              <w:left w:val="nil"/>
              <w:bottom w:val="nil"/>
              <w:right w:val="nil"/>
            </w:tcBorders>
            <w:shd w:val="clear" w:color="auto" w:fill="auto"/>
            <w:noWrap/>
            <w:vAlign w:val="bottom"/>
            <w:hideMark/>
          </w:tcPr>
          <w:p w14:paraId="4432DEFA" w14:textId="2B786AB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0.17</w:t>
            </w:r>
          </w:p>
        </w:tc>
        <w:tc>
          <w:tcPr>
            <w:tcW w:w="851" w:type="dxa"/>
            <w:tcBorders>
              <w:top w:val="single" w:sz="4" w:space="0" w:color="auto"/>
              <w:left w:val="nil"/>
              <w:bottom w:val="nil"/>
              <w:right w:val="nil"/>
            </w:tcBorders>
            <w:shd w:val="clear" w:color="auto" w:fill="auto"/>
            <w:noWrap/>
            <w:vAlign w:val="bottom"/>
            <w:hideMark/>
          </w:tcPr>
          <w:p w14:paraId="6EA0EBCB" w14:textId="13A6440A"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w:t>
            </w:r>
          </w:p>
        </w:tc>
        <w:tc>
          <w:tcPr>
            <w:tcW w:w="992" w:type="dxa"/>
            <w:tcBorders>
              <w:top w:val="single" w:sz="4" w:space="0" w:color="auto"/>
              <w:left w:val="nil"/>
              <w:bottom w:val="nil"/>
              <w:right w:val="nil"/>
            </w:tcBorders>
            <w:shd w:val="clear" w:color="auto" w:fill="auto"/>
            <w:noWrap/>
            <w:vAlign w:val="bottom"/>
            <w:hideMark/>
          </w:tcPr>
          <w:p w14:paraId="2E82B5D2" w14:textId="73E15679"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0.55</w:t>
            </w:r>
          </w:p>
        </w:tc>
        <w:tc>
          <w:tcPr>
            <w:tcW w:w="851" w:type="dxa"/>
            <w:tcBorders>
              <w:top w:val="single" w:sz="4" w:space="0" w:color="auto"/>
              <w:left w:val="nil"/>
              <w:bottom w:val="nil"/>
              <w:right w:val="nil"/>
            </w:tcBorders>
            <w:shd w:val="clear" w:color="auto" w:fill="auto"/>
            <w:noWrap/>
            <w:vAlign w:val="bottom"/>
            <w:hideMark/>
          </w:tcPr>
          <w:p w14:paraId="6786027E" w14:textId="12FC0322"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0.72</w:t>
            </w:r>
          </w:p>
        </w:tc>
      </w:tr>
      <w:tr w:rsidR="009C5696" w:rsidRPr="00E111CF" w14:paraId="2E6A5D10"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3C81B0E" w14:textId="7B9B6833"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Population, log</w:t>
            </w:r>
          </w:p>
        </w:tc>
        <w:tc>
          <w:tcPr>
            <w:tcW w:w="1030" w:type="dxa"/>
            <w:tcBorders>
              <w:top w:val="nil"/>
              <w:left w:val="nil"/>
              <w:bottom w:val="nil"/>
              <w:right w:val="nil"/>
            </w:tcBorders>
            <w:shd w:val="clear" w:color="auto" w:fill="auto"/>
            <w:noWrap/>
            <w:vAlign w:val="bottom"/>
            <w:hideMark/>
          </w:tcPr>
          <w:p w14:paraId="0EC2D63C"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63A16FB8" w14:textId="488FC88A"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0.48</w:t>
            </w:r>
          </w:p>
        </w:tc>
        <w:tc>
          <w:tcPr>
            <w:tcW w:w="851" w:type="dxa"/>
            <w:tcBorders>
              <w:top w:val="nil"/>
              <w:left w:val="nil"/>
              <w:bottom w:val="nil"/>
              <w:right w:val="nil"/>
            </w:tcBorders>
            <w:shd w:val="clear" w:color="auto" w:fill="auto"/>
            <w:noWrap/>
            <w:vAlign w:val="bottom"/>
            <w:hideMark/>
          </w:tcPr>
          <w:p w14:paraId="4347E153" w14:textId="493B0684"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0.03</w:t>
            </w:r>
          </w:p>
        </w:tc>
        <w:tc>
          <w:tcPr>
            <w:tcW w:w="992" w:type="dxa"/>
            <w:tcBorders>
              <w:top w:val="nil"/>
              <w:left w:val="nil"/>
              <w:bottom w:val="nil"/>
              <w:right w:val="nil"/>
            </w:tcBorders>
            <w:shd w:val="clear" w:color="auto" w:fill="auto"/>
            <w:noWrap/>
            <w:vAlign w:val="bottom"/>
            <w:hideMark/>
          </w:tcPr>
          <w:p w14:paraId="379C142E" w14:textId="59D41A60"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0.78</w:t>
            </w:r>
          </w:p>
        </w:tc>
        <w:tc>
          <w:tcPr>
            <w:tcW w:w="851" w:type="dxa"/>
            <w:tcBorders>
              <w:top w:val="nil"/>
              <w:left w:val="nil"/>
              <w:bottom w:val="nil"/>
              <w:right w:val="nil"/>
            </w:tcBorders>
            <w:shd w:val="clear" w:color="auto" w:fill="auto"/>
            <w:noWrap/>
            <w:vAlign w:val="bottom"/>
            <w:hideMark/>
          </w:tcPr>
          <w:p w14:paraId="79BEF92E" w14:textId="0530A2D4"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w:t>
            </w:r>
          </w:p>
        </w:tc>
      </w:tr>
      <w:tr w:rsidR="009C5696" w:rsidRPr="00E111CF" w14:paraId="350FE287"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4180F253" w14:textId="60EFE926"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Polity</w:t>
            </w:r>
          </w:p>
        </w:tc>
        <w:tc>
          <w:tcPr>
            <w:tcW w:w="1030" w:type="dxa"/>
            <w:tcBorders>
              <w:top w:val="nil"/>
              <w:left w:val="nil"/>
              <w:bottom w:val="nil"/>
              <w:right w:val="nil"/>
            </w:tcBorders>
            <w:shd w:val="clear" w:color="auto" w:fill="auto"/>
            <w:noWrap/>
            <w:vAlign w:val="bottom"/>
            <w:hideMark/>
          </w:tcPr>
          <w:p w14:paraId="0ADD26E2"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61295F93" w14:textId="6A8A985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0.05</w:t>
            </w:r>
          </w:p>
        </w:tc>
        <w:tc>
          <w:tcPr>
            <w:tcW w:w="851" w:type="dxa"/>
            <w:tcBorders>
              <w:top w:val="nil"/>
              <w:left w:val="nil"/>
              <w:bottom w:val="nil"/>
              <w:right w:val="nil"/>
            </w:tcBorders>
            <w:shd w:val="clear" w:color="auto" w:fill="auto"/>
            <w:noWrap/>
            <w:vAlign w:val="bottom"/>
            <w:hideMark/>
          </w:tcPr>
          <w:p w14:paraId="0B448271" w14:textId="33E91DE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-0.11</w:t>
            </w:r>
          </w:p>
        </w:tc>
        <w:tc>
          <w:tcPr>
            <w:tcW w:w="992" w:type="dxa"/>
            <w:tcBorders>
              <w:top w:val="nil"/>
              <w:left w:val="nil"/>
              <w:bottom w:val="nil"/>
              <w:right w:val="nil"/>
            </w:tcBorders>
            <w:shd w:val="clear" w:color="auto" w:fill="auto"/>
            <w:noWrap/>
            <w:vAlign w:val="bottom"/>
            <w:hideMark/>
          </w:tcPr>
          <w:p w14:paraId="5E4CDC13" w14:textId="6DF17F1C"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0.69</w:t>
            </w:r>
          </w:p>
        </w:tc>
        <w:tc>
          <w:tcPr>
            <w:tcW w:w="851" w:type="dxa"/>
            <w:tcBorders>
              <w:top w:val="nil"/>
              <w:left w:val="nil"/>
              <w:bottom w:val="nil"/>
              <w:right w:val="nil"/>
            </w:tcBorders>
            <w:shd w:val="clear" w:color="auto" w:fill="auto"/>
            <w:noWrap/>
            <w:vAlign w:val="bottom"/>
            <w:hideMark/>
          </w:tcPr>
          <w:p w14:paraId="45A3B97E" w14:textId="5C4E53CF"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0.86</w:t>
            </w:r>
          </w:p>
        </w:tc>
      </w:tr>
      <w:tr w:rsidR="009C5696" w:rsidRPr="00E111CF" w14:paraId="737C5FD0"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3D722105" w14:textId="43E9DB7C"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Regime durability, log</w:t>
            </w:r>
          </w:p>
        </w:tc>
        <w:tc>
          <w:tcPr>
            <w:tcW w:w="1030" w:type="dxa"/>
            <w:tcBorders>
              <w:top w:val="nil"/>
              <w:left w:val="nil"/>
              <w:bottom w:val="nil"/>
              <w:right w:val="nil"/>
            </w:tcBorders>
            <w:shd w:val="clear" w:color="auto" w:fill="auto"/>
            <w:noWrap/>
            <w:vAlign w:val="bottom"/>
            <w:hideMark/>
          </w:tcPr>
          <w:p w14:paraId="5E699DB2"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14D3B08D" w14:textId="3AB2B335"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-0.29</w:t>
            </w:r>
          </w:p>
        </w:tc>
        <w:tc>
          <w:tcPr>
            <w:tcW w:w="851" w:type="dxa"/>
            <w:tcBorders>
              <w:top w:val="nil"/>
              <w:left w:val="nil"/>
              <w:bottom w:val="nil"/>
              <w:right w:val="nil"/>
            </w:tcBorders>
            <w:shd w:val="clear" w:color="auto" w:fill="auto"/>
            <w:noWrap/>
            <w:vAlign w:val="bottom"/>
            <w:hideMark/>
          </w:tcPr>
          <w:p w14:paraId="1828C081" w14:textId="1583FEF1"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-0.24</w:t>
            </w:r>
          </w:p>
        </w:tc>
        <w:tc>
          <w:tcPr>
            <w:tcW w:w="992" w:type="dxa"/>
            <w:tcBorders>
              <w:top w:val="nil"/>
              <w:left w:val="nil"/>
              <w:bottom w:val="nil"/>
              <w:right w:val="nil"/>
            </w:tcBorders>
            <w:shd w:val="clear" w:color="auto" w:fill="auto"/>
            <w:noWrap/>
            <w:vAlign w:val="bottom"/>
            <w:hideMark/>
          </w:tcPr>
          <w:p w14:paraId="6E6DDFF0" w14:textId="15E0E33B"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0.99</w:t>
            </w:r>
          </w:p>
        </w:tc>
        <w:tc>
          <w:tcPr>
            <w:tcW w:w="851" w:type="dxa"/>
            <w:tcBorders>
              <w:top w:val="nil"/>
              <w:left w:val="nil"/>
              <w:bottom w:val="nil"/>
              <w:right w:val="nil"/>
            </w:tcBorders>
            <w:shd w:val="clear" w:color="auto" w:fill="auto"/>
            <w:noWrap/>
            <w:vAlign w:val="bottom"/>
            <w:hideMark/>
          </w:tcPr>
          <w:p w14:paraId="0834FA8B" w14:textId="3AD56935"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1.17</w:t>
            </w:r>
          </w:p>
        </w:tc>
      </w:tr>
      <w:tr w:rsidR="009C5696" w:rsidRPr="00E111CF" w14:paraId="6F2E15D5"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574AD0C" w14:textId="7D8D46E5"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Urbanization</w:t>
            </w:r>
          </w:p>
        </w:tc>
        <w:tc>
          <w:tcPr>
            <w:tcW w:w="1030" w:type="dxa"/>
            <w:tcBorders>
              <w:top w:val="nil"/>
              <w:left w:val="nil"/>
              <w:bottom w:val="nil"/>
              <w:right w:val="nil"/>
            </w:tcBorders>
            <w:shd w:val="clear" w:color="auto" w:fill="auto"/>
            <w:noWrap/>
            <w:vAlign w:val="bottom"/>
            <w:hideMark/>
          </w:tcPr>
          <w:p w14:paraId="681F49D9"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1360F548" w14:textId="1EFCD895"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w:t>
            </w:r>
          </w:p>
        </w:tc>
        <w:tc>
          <w:tcPr>
            <w:tcW w:w="851" w:type="dxa"/>
            <w:tcBorders>
              <w:top w:val="nil"/>
              <w:left w:val="nil"/>
              <w:bottom w:val="nil"/>
              <w:right w:val="nil"/>
            </w:tcBorders>
            <w:shd w:val="clear" w:color="auto" w:fill="auto"/>
            <w:noWrap/>
            <w:vAlign w:val="bottom"/>
            <w:hideMark/>
          </w:tcPr>
          <w:p w14:paraId="09AE90C5" w14:textId="54AE0EE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-0.07</w:t>
            </w:r>
          </w:p>
        </w:tc>
        <w:tc>
          <w:tcPr>
            <w:tcW w:w="992" w:type="dxa"/>
            <w:tcBorders>
              <w:top w:val="nil"/>
              <w:left w:val="nil"/>
              <w:bottom w:val="nil"/>
              <w:right w:val="nil"/>
            </w:tcBorders>
            <w:shd w:val="clear" w:color="auto" w:fill="auto"/>
            <w:noWrap/>
            <w:vAlign w:val="bottom"/>
            <w:hideMark/>
          </w:tcPr>
          <w:p w14:paraId="08F47F3B" w14:textId="7DD083E9"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0.7</w:t>
            </w:r>
          </w:p>
        </w:tc>
        <w:tc>
          <w:tcPr>
            <w:tcW w:w="851" w:type="dxa"/>
            <w:tcBorders>
              <w:top w:val="nil"/>
              <w:left w:val="nil"/>
              <w:bottom w:val="nil"/>
              <w:right w:val="nil"/>
            </w:tcBorders>
            <w:shd w:val="clear" w:color="auto" w:fill="auto"/>
            <w:noWrap/>
            <w:vAlign w:val="bottom"/>
            <w:hideMark/>
          </w:tcPr>
          <w:p w14:paraId="26C1AD9D" w14:textId="0DFBBC60"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0.89</w:t>
            </w:r>
          </w:p>
        </w:tc>
      </w:tr>
      <w:tr w:rsidR="009C5696" w:rsidRPr="00E111CF" w14:paraId="4C8967C0"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56087640" w14:textId="18AABCF2"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 xml:space="preserve">Corruption </w:t>
            </w:r>
          </w:p>
        </w:tc>
        <w:tc>
          <w:tcPr>
            <w:tcW w:w="1030" w:type="dxa"/>
            <w:tcBorders>
              <w:top w:val="nil"/>
              <w:left w:val="nil"/>
              <w:bottom w:val="nil"/>
              <w:right w:val="nil"/>
            </w:tcBorders>
            <w:shd w:val="clear" w:color="auto" w:fill="auto"/>
            <w:noWrap/>
            <w:vAlign w:val="bottom"/>
            <w:hideMark/>
          </w:tcPr>
          <w:p w14:paraId="1DAD686B"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208B8B51" w14:textId="146268F2"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0.67</w:t>
            </w:r>
          </w:p>
        </w:tc>
        <w:tc>
          <w:tcPr>
            <w:tcW w:w="851" w:type="dxa"/>
            <w:tcBorders>
              <w:top w:val="nil"/>
              <w:left w:val="nil"/>
              <w:bottom w:val="nil"/>
              <w:right w:val="nil"/>
            </w:tcBorders>
            <w:shd w:val="clear" w:color="auto" w:fill="auto"/>
            <w:noWrap/>
            <w:vAlign w:val="bottom"/>
            <w:hideMark/>
          </w:tcPr>
          <w:p w14:paraId="246C6FFB" w14:textId="7FF198A0"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0.29</w:t>
            </w:r>
          </w:p>
        </w:tc>
        <w:tc>
          <w:tcPr>
            <w:tcW w:w="992" w:type="dxa"/>
            <w:tcBorders>
              <w:top w:val="nil"/>
              <w:left w:val="nil"/>
              <w:bottom w:val="nil"/>
              <w:right w:val="nil"/>
            </w:tcBorders>
            <w:shd w:val="clear" w:color="auto" w:fill="auto"/>
            <w:noWrap/>
            <w:vAlign w:val="bottom"/>
            <w:hideMark/>
          </w:tcPr>
          <w:p w14:paraId="6F10A395" w14:textId="306C9C97"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0.63</w:t>
            </w:r>
          </w:p>
        </w:tc>
        <w:tc>
          <w:tcPr>
            <w:tcW w:w="851" w:type="dxa"/>
            <w:tcBorders>
              <w:top w:val="nil"/>
              <w:left w:val="nil"/>
              <w:bottom w:val="nil"/>
              <w:right w:val="nil"/>
            </w:tcBorders>
            <w:shd w:val="clear" w:color="auto" w:fill="auto"/>
            <w:noWrap/>
            <w:vAlign w:val="bottom"/>
            <w:hideMark/>
          </w:tcPr>
          <w:p w14:paraId="6C607C31" w14:textId="53E408F9"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0.87</w:t>
            </w:r>
          </w:p>
        </w:tc>
      </w:tr>
      <w:tr w:rsidR="009C5696" w:rsidRPr="00E111CF" w14:paraId="54B636CD"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4E5E05A5" w14:textId="71436FA9"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Education</w:t>
            </w:r>
          </w:p>
        </w:tc>
        <w:tc>
          <w:tcPr>
            <w:tcW w:w="1030" w:type="dxa"/>
            <w:tcBorders>
              <w:top w:val="nil"/>
              <w:left w:val="nil"/>
              <w:bottom w:val="nil"/>
              <w:right w:val="nil"/>
            </w:tcBorders>
            <w:shd w:val="clear" w:color="auto" w:fill="auto"/>
            <w:noWrap/>
            <w:vAlign w:val="bottom"/>
            <w:hideMark/>
          </w:tcPr>
          <w:p w14:paraId="080B5D11"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36FE0BA6" w14:textId="1F9F325A"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0.32</w:t>
            </w:r>
          </w:p>
        </w:tc>
        <w:tc>
          <w:tcPr>
            <w:tcW w:w="851" w:type="dxa"/>
            <w:tcBorders>
              <w:top w:val="nil"/>
              <w:left w:val="nil"/>
              <w:bottom w:val="nil"/>
              <w:right w:val="nil"/>
            </w:tcBorders>
            <w:shd w:val="clear" w:color="auto" w:fill="auto"/>
            <w:noWrap/>
            <w:vAlign w:val="bottom"/>
            <w:hideMark/>
          </w:tcPr>
          <w:p w14:paraId="4B11BB2B" w14:textId="02094B5E"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-0.09</w:t>
            </w:r>
          </w:p>
        </w:tc>
        <w:tc>
          <w:tcPr>
            <w:tcW w:w="992" w:type="dxa"/>
            <w:tcBorders>
              <w:top w:val="nil"/>
              <w:left w:val="nil"/>
              <w:bottom w:val="nil"/>
              <w:right w:val="nil"/>
            </w:tcBorders>
            <w:shd w:val="clear" w:color="auto" w:fill="auto"/>
            <w:noWrap/>
            <w:vAlign w:val="bottom"/>
            <w:hideMark/>
          </w:tcPr>
          <w:p w14:paraId="02462EA0" w14:textId="553BD802"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w:t>
            </w:r>
          </w:p>
        </w:tc>
        <w:tc>
          <w:tcPr>
            <w:tcW w:w="851" w:type="dxa"/>
            <w:tcBorders>
              <w:top w:val="nil"/>
              <w:left w:val="nil"/>
              <w:bottom w:val="nil"/>
              <w:right w:val="nil"/>
            </w:tcBorders>
            <w:shd w:val="clear" w:color="auto" w:fill="auto"/>
            <w:noWrap/>
            <w:vAlign w:val="bottom"/>
            <w:hideMark/>
          </w:tcPr>
          <w:p w14:paraId="597766F9" w14:textId="28D62640"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0.93</w:t>
            </w:r>
          </w:p>
        </w:tc>
      </w:tr>
      <w:tr w:rsidR="009C5696" w:rsidRPr="00E111CF" w14:paraId="16EB2C99"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6D6126DE" w14:textId="2C0B5E03" w:rsidR="009C5696" w:rsidRPr="009C5696"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Revolutions in the same region</w:t>
            </w:r>
          </w:p>
        </w:tc>
        <w:tc>
          <w:tcPr>
            <w:tcW w:w="1030" w:type="dxa"/>
            <w:tcBorders>
              <w:top w:val="nil"/>
              <w:left w:val="nil"/>
              <w:bottom w:val="nil"/>
              <w:right w:val="nil"/>
            </w:tcBorders>
            <w:shd w:val="clear" w:color="auto" w:fill="auto"/>
            <w:noWrap/>
            <w:vAlign w:val="bottom"/>
            <w:hideMark/>
          </w:tcPr>
          <w:p w14:paraId="431D0F08"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nil"/>
              <w:right w:val="nil"/>
            </w:tcBorders>
            <w:shd w:val="clear" w:color="auto" w:fill="auto"/>
            <w:noWrap/>
            <w:vAlign w:val="bottom"/>
            <w:hideMark/>
          </w:tcPr>
          <w:p w14:paraId="4CD66D76" w14:textId="47805172"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0.38</w:t>
            </w:r>
          </w:p>
        </w:tc>
        <w:tc>
          <w:tcPr>
            <w:tcW w:w="851" w:type="dxa"/>
            <w:tcBorders>
              <w:top w:val="nil"/>
              <w:left w:val="nil"/>
              <w:bottom w:val="nil"/>
              <w:right w:val="nil"/>
            </w:tcBorders>
            <w:shd w:val="clear" w:color="auto" w:fill="auto"/>
            <w:noWrap/>
            <w:vAlign w:val="bottom"/>
            <w:hideMark/>
          </w:tcPr>
          <w:p w14:paraId="5932339D" w14:textId="3644AC8B"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-0.47</w:t>
            </w:r>
          </w:p>
        </w:tc>
        <w:tc>
          <w:tcPr>
            <w:tcW w:w="992" w:type="dxa"/>
            <w:tcBorders>
              <w:top w:val="nil"/>
              <w:left w:val="nil"/>
              <w:bottom w:val="nil"/>
              <w:right w:val="nil"/>
            </w:tcBorders>
            <w:shd w:val="clear" w:color="auto" w:fill="auto"/>
            <w:noWrap/>
            <w:vAlign w:val="bottom"/>
            <w:hideMark/>
          </w:tcPr>
          <w:p w14:paraId="75F2EF84" w14:textId="1C5EB5ED" w:rsidR="009C5696" w:rsidRPr="00DC1371" w:rsidRDefault="009C5696" w:rsidP="009C5696">
            <w:pPr>
              <w:spacing w:line="240" w:lineRule="auto"/>
              <w:jc w:val="center"/>
              <w:rPr>
                <w:rFonts w:eastAsia="Times New Roman" w:cs="Times New Roman"/>
                <w:color w:val="000000"/>
                <w:szCs w:val="24"/>
                <w:lang w:eastAsia="ru-RU"/>
              </w:rPr>
            </w:pPr>
          </w:p>
        </w:tc>
        <w:tc>
          <w:tcPr>
            <w:tcW w:w="851" w:type="dxa"/>
            <w:tcBorders>
              <w:top w:val="nil"/>
              <w:left w:val="nil"/>
              <w:bottom w:val="nil"/>
              <w:right w:val="nil"/>
            </w:tcBorders>
            <w:shd w:val="clear" w:color="auto" w:fill="auto"/>
            <w:noWrap/>
            <w:vAlign w:val="bottom"/>
            <w:hideMark/>
          </w:tcPr>
          <w:p w14:paraId="03DB80DC" w14:textId="7F256DD9" w:rsidR="009C5696" w:rsidRPr="00DC1371" w:rsidRDefault="009C5696" w:rsidP="009C5696">
            <w:pPr>
              <w:spacing w:line="240" w:lineRule="auto"/>
              <w:jc w:val="center"/>
              <w:rPr>
                <w:rFonts w:eastAsia="Times New Roman" w:cs="Times New Roman"/>
                <w:color w:val="000000"/>
                <w:szCs w:val="24"/>
                <w:lang w:eastAsia="ru-RU"/>
              </w:rPr>
            </w:pPr>
          </w:p>
        </w:tc>
      </w:tr>
      <w:tr w:rsidR="009C5696" w:rsidRPr="00E111CF" w14:paraId="079A058C" w14:textId="77777777" w:rsidTr="00FB60AF">
        <w:trPr>
          <w:trHeight w:val="300"/>
          <w:jc w:val="center"/>
        </w:trPr>
        <w:tc>
          <w:tcPr>
            <w:tcW w:w="2549" w:type="dxa"/>
            <w:tcBorders>
              <w:top w:val="nil"/>
              <w:left w:val="nil"/>
              <w:bottom w:val="single" w:sz="4" w:space="0" w:color="auto"/>
              <w:right w:val="nil"/>
            </w:tcBorders>
            <w:shd w:val="clear" w:color="auto" w:fill="auto"/>
            <w:noWrap/>
            <w:vAlign w:val="bottom"/>
            <w:hideMark/>
          </w:tcPr>
          <w:p w14:paraId="571AB7A8" w14:textId="00ABE826"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Revolutions in the past</w:t>
            </w:r>
          </w:p>
        </w:tc>
        <w:tc>
          <w:tcPr>
            <w:tcW w:w="1030" w:type="dxa"/>
            <w:tcBorders>
              <w:top w:val="nil"/>
              <w:left w:val="nil"/>
              <w:bottom w:val="single" w:sz="4" w:space="0" w:color="auto"/>
              <w:right w:val="nil"/>
            </w:tcBorders>
            <w:shd w:val="clear" w:color="auto" w:fill="auto"/>
            <w:noWrap/>
            <w:vAlign w:val="bottom"/>
            <w:hideMark/>
          </w:tcPr>
          <w:p w14:paraId="37048C36"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nearest</w:t>
            </w:r>
            <w:proofErr w:type="spellEnd"/>
          </w:p>
        </w:tc>
        <w:tc>
          <w:tcPr>
            <w:tcW w:w="957" w:type="dxa"/>
            <w:tcBorders>
              <w:top w:val="nil"/>
              <w:left w:val="nil"/>
              <w:bottom w:val="single" w:sz="4" w:space="0" w:color="auto"/>
              <w:right w:val="nil"/>
            </w:tcBorders>
            <w:shd w:val="clear" w:color="auto" w:fill="auto"/>
            <w:noWrap/>
            <w:vAlign w:val="bottom"/>
            <w:hideMark/>
          </w:tcPr>
          <w:p w14:paraId="4483C7D6" w14:textId="22D5E484"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0.53</w:t>
            </w:r>
          </w:p>
        </w:tc>
        <w:tc>
          <w:tcPr>
            <w:tcW w:w="851" w:type="dxa"/>
            <w:tcBorders>
              <w:top w:val="nil"/>
              <w:left w:val="nil"/>
              <w:bottom w:val="single" w:sz="4" w:space="0" w:color="auto"/>
              <w:right w:val="nil"/>
            </w:tcBorders>
            <w:shd w:val="clear" w:color="auto" w:fill="auto"/>
            <w:noWrap/>
            <w:vAlign w:val="bottom"/>
            <w:hideMark/>
          </w:tcPr>
          <w:p w14:paraId="0E963CE1" w14:textId="2BBFCEF9"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0.22</w:t>
            </w:r>
          </w:p>
        </w:tc>
        <w:tc>
          <w:tcPr>
            <w:tcW w:w="992" w:type="dxa"/>
            <w:tcBorders>
              <w:top w:val="nil"/>
              <w:left w:val="nil"/>
              <w:bottom w:val="single" w:sz="4" w:space="0" w:color="auto"/>
              <w:right w:val="nil"/>
            </w:tcBorders>
            <w:shd w:val="clear" w:color="auto" w:fill="auto"/>
            <w:noWrap/>
            <w:vAlign w:val="bottom"/>
            <w:hideMark/>
          </w:tcPr>
          <w:p w14:paraId="34AA38F0" w14:textId="13BB1D9E"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3.79</w:t>
            </w:r>
          </w:p>
        </w:tc>
        <w:tc>
          <w:tcPr>
            <w:tcW w:w="851" w:type="dxa"/>
            <w:tcBorders>
              <w:top w:val="nil"/>
              <w:left w:val="nil"/>
              <w:bottom w:val="single" w:sz="4" w:space="0" w:color="auto"/>
              <w:right w:val="nil"/>
            </w:tcBorders>
            <w:shd w:val="clear" w:color="auto" w:fill="auto"/>
            <w:noWrap/>
            <w:vAlign w:val="bottom"/>
            <w:hideMark/>
          </w:tcPr>
          <w:p w14:paraId="015727AF" w14:textId="23D27E3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1.4</w:t>
            </w:r>
          </w:p>
        </w:tc>
      </w:tr>
      <w:tr w:rsidR="009C5696" w:rsidRPr="00E111CF" w14:paraId="2301DB4A" w14:textId="77777777" w:rsidTr="00346513">
        <w:trPr>
          <w:trHeight w:val="300"/>
          <w:jc w:val="center"/>
        </w:trPr>
        <w:tc>
          <w:tcPr>
            <w:tcW w:w="2549" w:type="dxa"/>
            <w:tcBorders>
              <w:top w:val="single" w:sz="4" w:space="0" w:color="auto"/>
              <w:left w:val="nil"/>
              <w:bottom w:val="nil"/>
              <w:right w:val="nil"/>
            </w:tcBorders>
            <w:shd w:val="clear" w:color="auto" w:fill="auto"/>
            <w:noWrap/>
            <w:vAlign w:val="center"/>
            <w:hideMark/>
          </w:tcPr>
          <w:p w14:paraId="3AD37C57" w14:textId="15BC552E"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Economic growth, 5-year average</w:t>
            </w:r>
          </w:p>
        </w:tc>
        <w:tc>
          <w:tcPr>
            <w:tcW w:w="1030" w:type="dxa"/>
            <w:tcBorders>
              <w:top w:val="single" w:sz="4" w:space="0" w:color="auto"/>
              <w:left w:val="nil"/>
              <w:bottom w:val="nil"/>
              <w:right w:val="nil"/>
            </w:tcBorders>
            <w:shd w:val="clear" w:color="auto" w:fill="auto"/>
            <w:noWrap/>
            <w:vAlign w:val="bottom"/>
            <w:hideMark/>
          </w:tcPr>
          <w:p w14:paraId="5E55E896"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single" w:sz="4" w:space="0" w:color="auto"/>
              <w:left w:val="nil"/>
              <w:bottom w:val="nil"/>
              <w:right w:val="nil"/>
            </w:tcBorders>
            <w:shd w:val="clear" w:color="auto" w:fill="auto"/>
            <w:noWrap/>
            <w:vAlign w:val="bottom"/>
            <w:hideMark/>
          </w:tcPr>
          <w:p w14:paraId="20C8B5F5" w14:textId="21479C6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0.17</w:t>
            </w:r>
          </w:p>
        </w:tc>
        <w:tc>
          <w:tcPr>
            <w:tcW w:w="851" w:type="dxa"/>
            <w:tcBorders>
              <w:top w:val="single" w:sz="4" w:space="0" w:color="auto"/>
              <w:left w:val="nil"/>
              <w:bottom w:val="nil"/>
              <w:right w:val="nil"/>
            </w:tcBorders>
            <w:shd w:val="clear" w:color="auto" w:fill="auto"/>
            <w:noWrap/>
            <w:vAlign w:val="bottom"/>
            <w:hideMark/>
          </w:tcPr>
          <w:p w14:paraId="4EF94E52" w14:textId="719FD644"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w:t>
            </w:r>
          </w:p>
        </w:tc>
        <w:tc>
          <w:tcPr>
            <w:tcW w:w="992" w:type="dxa"/>
            <w:tcBorders>
              <w:top w:val="single" w:sz="4" w:space="0" w:color="auto"/>
              <w:left w:val="nil"/>
              <w:bottom w:val="nil"/>
              <w:right w:val="nil"/>
            </w:tcBorders>
            <w:shd w:val="clear" w:color="auto" w:fill="auto"/>
            <w:noWrap/>
            <w:vAlign w:val="bottom"/>
            <w:hideMark/>
          </w:tcPr>
          <w:p w14:paraId="4D3E8338" w14:textId="449DD30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0.55</w:t>
            </w:r>
          </w:p>
        </w:tc>
        <w:tc>
          <w:tcPr>
            <w:tcW w:w="851" w:type="dxa"/>
            <w:tcBorders>
              <w:top w:val="single" w:sz="4" w:space="0" w:color="auto"/>
              <w:left w:val="nil"/>
              <w:bottom w:val="nil"/>
              <w:right w:val="nil"/>
            </w:tcBorders>
            <w:shd w:val="clear" w:color="auto" w:fill="auto"/>
            <w:noWrap/>
            <w:vAlign w:val="bottom"/>
            <w:hideMark/>
          </w:tcPr>
          <w:p w14:paraId="723CD69B" w14:textId="39D3A51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0.86</w:t>
            </w:r>
          </w:p>
        </w:tc>
      </w:tr>
      <w:tr w:rsidR="009C5696" w:rsidRPr="00E111CF" w14:paraId="327D4D4C"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19467DC7" w14:textId="6136AE8A"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Population, log</w:t>
            </w:r>
          </w:p>
        </w:tc>
        <w:tc>
          <w:tcPr>
            <w:tcW w:w="1030" w:type="dxa"/>
            <w:tcBorders>
              <w:top w:val="nil"/>
              <w:left w:val="nil"/>
              <w:bottom w:val="nil"/>
              <w:right w:val="nil"/>
            </w:tcBorders>
            <w:shd w:val="clear" w:color="auto" w:fill="auto"/>
            <w:noWrap/>
            <w:vAlign w:val="bottom"/>
            <w:hideMark/>
          </w:tcPr>
          <w:p w14:paraId="4053F13E"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6F5AA8F8" w14:textId="04FC1C15"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0.48</w:t>
            </w:r>
          </w:p>
        </w:tc>
        <w:tc>
          <w:tcPr>
            <w:tcW w:w="851" w:type="dxa"/>
            <w:tcBorders>
              <w:top w:val="nil"/>
              <w:left w:val="nil"/>
              <w:bottom w:val="nil"/>
              <w:right w:val="nil"/>
            </w:tcBorders>
            <w:shd w:val="clear" w:color="auto" w:fill="auto"/>
            <w:noWrap/>
            <w:vAlign w:val="bottom"/>
            <w:hideMark/>
          </w:tcPr>
          <w:p w14:paraId="04111CF2" w14:textId="3816F4F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0.03</w:t>
            </w:r>
          </w:p>
        </w:tc>
        <w:tc>
          <w:tcPr>
            <w:tcW w:w="992" w:type="dxa"/>
            <w:tcBorders>
              <w:top w:val="nil"/>
              <w:left w:val="nil"/>
              <w:bottom w:val="nil"/>
              <w:right w:val="nil"/>
            </w:tcBorders>
            <w:shd w:val="clear" w:color="auto" w:fill="auto"/>
            <w:noWrap/>
            <w:vAlign w:val="bottom"/>
            <w:hideMark/>
          </w:tcPr>
          <w:p w14:paraId="1F902424" w14:textId="5089C2FD"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0.78</w:t>
            </w:r>
          </w:p>
        </w:tc>
        <w:tc>
          <w:tcPr>
            <w:tcW w:w="851" w:type="dxa"/>
            <w:tcBorders>
              <w:top w:val="nil"/>
              <w:left w:val="nil"/>
              <w:bottom w:val="nil"/>
              <w:right w:val="nil"/>
            </w:tcBorders>
            <w:shd w:val="clear" w:color="auto" w:fill="auto"/>
            <w:noWrap/>
            <w:vAlign w:val="bottom"/>
            <w:hideMark/>
          </w:tcPr>
          <w:p w14:paraId="77C743B4" w14:textId="353771AE"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0.93</w:t>
            </w:r>
          </w:p>
        </w:tc>
      </w:tr>
      <w:tr w:rsidR="009C5696" w:rsidRPr="00E111CF" w14:paraId="6279B969"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C0B2EA9" w14:textId="7508488A" w:rsidR="009C5696" w:rsidRPr="00DC1371" w:rsidRDefault="009C5696" w:rsidP="009C5696">
            <w:pPr>
              <w:spacing w:line="240" w:lineRule="auto"/>
              <w:jc w:val="left"/>
              <w:rPr>
                <w:rFonts w:eastAsia="Times New Roman" w:cs="Times New Roman"/>
                <w:color w:val="000000"/>
                <w:szCs w:val="24"/>
                <w:lang w:eastAsia="ru-RU"/>
              </w:rPr>
            </w:pPr>
            <w:r>
              <w:rPr>
                <w:rFonts w:eastAsia="Helvetica" w:cs="Times New Roman"/>
                <w:color w:val="000000"/>
                <w:sz w:val="22"/>
                <w:lang w:val="en-US"/>
              </w:rPr>
              <w:t>Polity</w:t>
            </w:r>
          </w:p>
        </w:tc>
        <w:tc>
          <w:tcPr>
            <w:tcW w:w="1030" w:type="dxa"/>
            <w:tcBorders>
              <w:top w:val="nil"/>
              <w:left w:val="nil"/>
              <w:bottom w:val="nil"/>
              <w:right w:val="nil"/>
            </w:tcBorders>
            <w:shd w:val="clear" w:color="auto" w:fill="auto"/>
            <w:noWrap/>
            <w:vAlign w:val="bottom"/>
            <w:hideMark/>
          </w:tcPr>
          <w:p w14:paraId="2409B8E7"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24072F8A" w14:textId="43DA2777"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0.05</w:t>
            </w:r>
          </w:p>
        </w:tc>
        <w:tc>
          <w:tcPr>
            <w:tcW w:w="851" w:type="dxa"/>
            <w:tcBorders>
              <w:top w:val="nil"/>
              <w:left w:val="nil"/>
              <w:bottom w:val="nil"/>
              <w:right w:val="nil"/>
            </w:tcBorders>
            <w:shd w:val="clear" w:color="auto" w:fill="auto"/>
            <w:noWrap/>
            <w:vAlign w:val="bottom"/>
            <w:hideMark/>
          </w:tcPr>
          <w:p w14:paraId="42B78EC2" w14:textId="7239EB16"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w:t>
            </w:r>
          </w:p>
        </w:tc>
        <w:tc>
          <w:tcPr>
            <w:tcW w:w="992" w:type="dxa"/>
            <w:tcBorders>
              <w:top w:val="nil"/>
              <w:left w:val="nil"/>
              <w:bottom w:val="nil"/>
              <w:right w:val="nil"/>
            </w:tcBorders>
            <w:shd w:val="clear" w:color="auto" w:fill="auto"/>
            <w:noWrap/>
            <w:vAlign w:val="bottom"/>
            <w:hideMark/>
          </w:tcPr>
          <w:p w14:paraId="16EC8936" w14:textId="20D07F77"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0.69</w:t>
            </w:r>
          </w:p>
        </w:tc>
        <w:tc>
          <w:tcPr>
            <w:tcW w:w="851" w:type="dxa"/>
            <w:tcBorders>
              <w:top w:val="nil"/>
              <w:left w:val="nil"/>
              <w:bottom w:val="nil"/>
              <w:right w:val="nil"/>
            </w:tcBorders>
            <w:shd w:val="clear" w:color="auto" w:fill="auto"/>
            <w:noWrap/>
            <w:vAlign w:val="bottom"/>
            <w:hideMark/>
          </w:tcPr>
          <w:p w14:paraId="0B58A334" w14:textId="752FF38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0.84</w:t>
            </w:r>
          </w:p>
        </w:tc>
      </w:tr>
      <w:tr w:rsidR="009C5696" w:rsidRPr="00E111CF" w14:paraId="07661B6E"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72CAE1D5" w14:textId="2DE6BD98"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Regime durability, log</w:t>
            </w:r>
          </w:p>
        </w:tc>
        <w:tc>
          <w:tcPr>
            <w:tcW w:w="1030" w:type="dxa"/>
            <w:tcBorders>
              <w:top w:val="nil"/>
              <w:left w:val="nil"/>
              <w:bottom w:val="nil"/>
              <w:right w:val="nil"/>
            </w:tcBorders>
            <w:shd w:val="clear" w:color="auto" w:fill="auto"/>
            <w:noWrap/>
            <w:vAlign w:val="bottom"/>
            <w:hideMark/>
          </w:tcPr>
          <w:p w14:paraId="6C46AFC6"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6ED22175" w14:textId="007D6D97"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-0.29</w:t>
            </w:r>
          </w:p>
        </w:tc>
        <w:tc>
          <w:tcPr>
            <w:tcW w:w="851" w:type="dxa"/>
            <w:tcBorders>
              <w:top w:val="nil"/>
              <w:left w:val="nil"/>
              <w:bottom w:val="nil"/>
              <w:right w:val="nil"/>
            </w:tcBorders>
            <w:shd w:val="clear" w:color="auto" w:fill="auto"/>
            <w:noWrap/>
            <w:vAlign w:val="bottom"/>
            <w:hideMark/>
          </w:tcPr>
          <w:p w14:paraId="0E5A8051" w14:textId="014FAA9A"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-0.29</w:t>
            </w:r>
          </w:p>
        </w:tc>
        <w:tc>
          <w:tcPr>
            <w:tcW w:w="992" w:type="dxa"/>
            <w:tcBorders>
              <w:top w:val="nil"/>
              <w:left w:val="nil"/>
              <w:bottom w:val="nil"/>
              <w:right w:val="nil"/>
            </w:tcBorders>
            <w:shd w:val="clear" w:color="auto" w:fill="auto"/>
            <w:noWrap/>
            <w:vAlign w:val="bottom"/>
            <w:hideMark/>
          </w:tcPr>
          <w:p w14:paraId="40F94BD0" w14:textId="76FF2B86"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0.99</w:t>
            </w:r>
          </w:p>
        </w:tc>
        <w:tc>
          <w:tcPr>
            <w:tcW w:w="851" w:type="dxa"/>
            <w:tcBorders>
              <w:top w:val="nil"/>
              <w:left w:val="nil"/>
              <w:bottom w:val="nil"/>
              <w:right w:val="nil"/>
            </w:tcBorders>
            <w:shd w:val="clear" w:color="auto" w:fill="auto"/>
            <w:noWrap/>
            <w:vAlign w:val="bottom"/>
            <w:hideMark/>
          </w:tcPr>
          <w:p w14:paraId="36DE40BB" w14:textId="41A8004A"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1.2</w:t>
            </w:r>
          </w:p>
        </w:tc>
      </w:tr>
      <w:tr w:rsidR="009C5696" w:rsidRPr="00E111CF" w14:paraId="17328C7B"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7337081A" w14:textId="277A548C"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Urbanization</w:t>
            </w:r>
          </w:p>
        </w:tc>
        <w:tc>
          <w:tcPr>
            <w:tcW w:w="1030" w:type="dxa"/>
            <w:tcBorders>
              <w:top w:val="nil"/>
              <w:left w:val="nil"/>
              <w:bottom w:val="nil"/>
              <w:right w:val="nil"/>
            </w:tcBorders>
            <w:shd w:val="clear" w:color="auto" w:fill="auto"/>
            <w:noWrap/>
            <w:vAlign w:val="bottom"/>
            <w:hideMark/>
          </w:tcPr>
          <w:p w14:paraId="213EAFAE"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7CE65EC7" w14:textId="1257BDEE"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0.1</w:t>
            </w:r>
          </w:p>
        </w:tc>
        <w:tc>
          <w:tcPr>
            <w:tcW w:w="851" w:type="dxa"/>
            <w:tcBorders>
              <w:top w:val="nil"/>
              <w:left w:val="nil"/>
              <w:bottom w:val="nil"/>
              <w:right w:val="nil"/>
            </w:tcBorders>
            <w:shd w:val="clear" w:color="auto" w:fill="auto"/>
            <w:noWrap/>
            <w:vAlign w:val="bottom"/>
            <w:hideMark/>
          </w:tcPr>
          <w:p w14:paraId="2CCEFDD1" w14:textId="5A8F904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-0.05</w:t>
            </w:r>
          </w:p>
        </w:tc>
        <w:tc>
          <w:tcPr>
            <w:tcW w:w="992" w:type="dxa"/>
            <w:tcBorders>
              <w:top w:val="nil"/>
              <w:left w:val="nil"/>
              <w:bottom w:val="nil"/>
              <w:right w:val="nil"/>
            </w:tcBorders>
            <w:shd w:val="clear" w:color="auto" w:fill="auto"/>
            <w:noWrap/>
            <w:vAlign w:val="bottom"/>
            <w:hideMark/>
          </w:tcPr>
          <w:p w14:paraId="1BEC08A1" w14:textId="6332D8A0"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0.7</w:t>
            </w:r>
          </w:p>
        </w:tc>
        <w:tc>
          <w:tcPr>
            <w:tcW w:w="851" w:type="dxa"/>
            <w:tcBorders>
              <w:top w:val="nil"/>
              <w:left w:val="nil"/>
              <w:bottom w:val="nil"/>
              <w:right w:val="nil"/>
            </w:tcBorders>
            <w:shd w:val="clear" w:color="auto" w:fill="auto"/>
            <w:noWrap/>
            <w:vAlign w:val="bottom"/>
            <w:hideMark/>
          </w:tcPr>
          <w:p w14:paraId="4913C9D3" w14:textId="08BFF56D"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w:t>
            </w:r>
          </w:p>
        </w:tc>
      </w:tr>
      <w:tr w:rsidR="009C5696" w:rsidRPr="00E111CF" w14:paraId="670D735C"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9440295" w14:textId="7233F3A9"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 xml:space="preserve">Corruption </w:t>
            </w:r>
          </w:p>
        </w:tc>
        <w:tc>
          <w:tcPr>
            <w:tcW w:w="1030" w:type="dxa"/>
            <w:tcBorders>
              <w:top w:val="nil"/>
              <w:left w:val="nil"/>
              <w:bottom w:val="nil"/>
              <w:right w:val="nil"/>
            </w:tcBorders>
            <w:shd w:val="clear" w:color="auto" w:fill="auto"/>
            <w:noWrap/>
            <w:vAlign w:val="bottom"/>
            <w:hideMark/>
          </w:tcPr>
          <w:p w14:paraId="1123D4F0"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26ACC79E" w14:textId="23AA422C"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0.67</w:t>
            </w:r>
          </w:p>
        </w:tc>
        <w:tc>
          <w:tcPr>
            <w:tcW w:w="851" w:type="dxa"/>
            <w:tcBorders>
              <w:top w:val="nil"/>
              <w:left w:val="nil"/>
              <w:bottom w:val="nil"/>
              <w:right w:val="nil"/>
            </w:tcBorders>
            <w:shd w:val="clear" w:color="auto" w:fill="auto"/>
            <w:noWrap/>
            <w:vAlign w:val="bottom"/>
            <w:hideMark/>
          </w:tcPr>
          <w:p w14:paraId="4D72B65D" w14:textId="44FFF41C" w:rsidR="009C5696" w:rsidRPr="007D23C4" w:rsidRDefault="009C5696" w:rsidP="009C5696">
            <w:pPr>
              <w:spacing w:line="240" w:lineRule="auto"/>
              <w:jc w:val="center"/>
              <w:rPr>
                <w:rFonts w:eastAsia="Times New Roman" w:cs="Times New Roman"/>
                <w:b/>
                <w:bCs/>
                <w:color w:val="000000"/>
                <w:szCs w:val="24"/>
                <w:lang w:eastAsia="ru-RU"/>
              </w:rPr>
            </w:pPr>
            <w:r w:rsidRPr="007D23C4">
              <w:rPr>
                <w:rFonts w:cs="Times New Roman"/>
                <w:b/>
                <w:bCs/>
                <w:color w:val="000000"/>
                <w:szCs w:val="24"/>
              </w:rPr>
              <w:t>0.3</w:t>
            </w:r>
          </w:p>
        </w:tc>
        <w:tc>
          <w:tcPr>
            <w:tcW w:w="992" w:type="dxa"/>
            <w:tcBorders>
              <w:top w:val="nil"/>
              <w:left w:val="nil"/>
              <w:bottom w:val="nil"/>
              <w:right w:val="nil"/>
            </w:tcBorders>
            <w:shd w:val="clear" w:color="auto" w:fill="auto"/>
            <w:noWrap/>
            <w:vAlign w:val="bottom"/>
            <w:hideMark/>
          </w:tcPr>
          <w:p w14:paraId="44CAEFF1" w14:textId="27EA973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0.63</w:t>
            </w:r>
          </w:p>
        </w:tc>
        <w:tc>
          <w:tcPr>
            <w:tcW w:w="851" w:type="dxa"/>
            <w:tcBorders>
              <w:top w:val="nil"/>
              <w:left w:val="nil"/>
              <w:bottom w:val="nil"/>
              <w:right w:val="nil"/>
            </w:tcBorders>
            <w:shd w:val="clear" w:color="auto" w:fill="auto"/>
            <w:noWrap/>
            <w:vAlign w:val="bottom"/>
            <w:hideMark/>
          </w:tcPr>
          <w:p w14:paraId="3863C871" w14:textId="4AD60FCE"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0.86</w:t>
            </w:r>
          </w:p>
        </w:tc>
      </w:tr>
      <w:tr w:rsidR="009C5696" w:rsidRPr="00E111CF" w14:paraId="1A588EDF" w14:textId="77777777" w:rsidTr="00FB60AF">
        <w:trPr>
          <w:trHeight w:val="300"/>
          <w:jc w:val="center"/>
        </w:trPr>
        <w:tc>
          <w:tcPr>
            <w:tcW w:w="2549" w:type="dxa"/>
            <w:tcBorders>
              <w:top w:val="nil"/>
              <w:left w:val="nil"/>
              <w:bottom w:val="nil"/>
              <w:right w:val="nil"/>
            </w:tcBorders>
            <w:shd w:val="clear" w:color="auto" w:fill="auto"/>
            <w:noWrap/>
            <w:vAlign w:val="bottom"/>
            <w:hideMark/>
          </w:tcPr>
          <w:p w14:paraId="0A0F883C" w14:textId="7884A8EB" w:rsidR="009C5696" w:rsidRPr="00DC1371"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Education</w:t>
            </w:r>
          </w:p>
        </w:tc>
        <w:tc>
          <w:tcPr>
            <w:tcW w:w="1030" w:type="dxa"/>
            <w:tcBorders>
              <w:top w:val="nil"/>
              <w:left w:val="nil"/>
              <w:bottom w:val="nil"/>
              <w:right w:val="nil"/>
            </w:tcBorders>
            <w:shd w:val="clear" w:color="auto" w:fill="auto"/>
            <w:noWrap/>
            <w:vAlign w:val="bottom"/>
            <w:hideMark/>
          </w:tcPr>
          <w:p w14:paraId="10EA2A49"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nil"/>
              <w:right w:val="nil"/>
            </w:tcBorders>
            <w:shd w:val="clear" w:color="auto" w:fill="auto"/>
            <w:noWrap/>
            <w:vAlign w:val="bottom"/>
            <w:hideMark/>
          </w:tcPr>
          <w:p w14:paraId="0264E6C0" w14:textId="75AB046D"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0.32</w:t>
            </w:r>
          </w:p>
        </w:tc>
        <w:tc>
          <w:tcPr>
            <w:tcW w:w="851" w:type="dxa"/>
            <w:tcBorders>
              <w:top w:val="nil"/>
              <w:left w:val="nil"/>
              <w:bottom w:val="nil"/>
              <w:right w:val="nil"/>
            </w:tcBorders>
            <w:shd w:val="clear" w:color="auto" w:fill="auto"/>
            <w:noWrap/>
            <w:vAlign w:val="bottom"/>
            <w:hideMark/>
          </w:tcPr>
          <w:p w14:paraId="73F4F803" w14:textId="71860563"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-0.09</w:t>
            </w:r>
          </w:p>
        </w:tc>
        <w:tc>
          <w:tcPr>
            <w:tcW w:w="992" w:type="dxa"/>
            <w:tcBorders>
              <w:top w:val="nil"/>
              <w:left w:val="nil"/>
              <w:bottom w:val="nil"/>
              <w:right w:val="nil"/>
            </w:tcBorders>
            <w:shd w:val="clear" w:color="auto" w:fill="auto"/>
            <w:noWrap/>
            <w:vAlign w:val="bottom"/>
            <w:hideMark/>
          </w:tcPr>
          <w:p w14:paraId="17DB8800" w14:textId="64E78DE7"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0.8</w:t>
            </w:r>
          </w:p>
        </w:tc>
        <w:tc>
          <w:tcPr>
            <w:tcW w:w="851" w:type="dxa"/>
            <w:tcBorders>
              <w:top w:val="nil"/>
              <w:left w:val="nil"/>
              <w:bottom w:val="nil"/>
              <w:right w:val="nil"/>
            </w:tcBorders>
            <w:shd w:val="clear" w:color="auto" w:fill="auto"/>
            <w:noWrap/>
            <w:vAlign w:val="bottom"/>
            <w:hideMark/>
          </w:tcPr>
          <w:p w14:paraId="5BFD2A9C" w14:textId="6ACD080C"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0.92</w:t>
            </w:r>
          </w:p>
        </w:tc>
      </w:tr>
      <w:tr w:rsidR="009C5696" w:rsidRPr="00E111CF" w14:paraId="641F4F4F" w14:textId="77777777" w:rsidTr="00FB60AF">
        <w:trPr>
          <w:trHeight w:val="300"/>
          <w:jc w:val="center"/>
        </w:trPr>
        <w:tc>
          <w:tcPr>
            <w:tcW w:w="2549" w:type="dxa"/>
            <w:tcBorders>
              <w:top w:val="nil"/>
              <w:left w:val="nil"/>
              <w:right w:val="nil"/>
            </w:tcBorders>
            <w:shd w:val="clear" w:color="auto" w:fill="auto"/>
            <w:noWrap/>
            <w:vAlign w:val="bottom"/>
            <w:hideMark/>
          </w:tcPr>
          <w:p w14:paraId="526DBF93" w14:textId="09F8737C" w:rsidR="009C5696" w:rsidRPr="009C5696" w:rsidRDefault="009C5696" w:rsidP="009C5696">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Revolutions in the same region</w:t>
            </w:r>
          </w:p>
        </w:tc>
        <w:tc>
          <w:tcPr>
            <w:tcW w:w="1030" w:type="dxa"/>
            <w:tcBorders>
              <w:top w:val="nil"/>
              <w:left w:val="nil"/>
              <w:right w:val="nil"/>
            </w:tcBorders>
            <w:shd w:val="clear" w:color="auto" w:fill="auto"/>
            <w:noWrap/>
            <w:vAlign w:val="bottom"/>
            <w:hideMark/>
          </w:tcPr>
          <w:p w14:paraId="575B5DF1"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right w:val="nil"/>
            </w:tcBorders>
            <w:shd w:val="clear" w:color="auto" w:fill="auto"/>
            <w:noWrap/>
            <w:vAlign w:val="bottom"/>
            <w:hideMark/>
          </w:tcPr>
          <w:p w14:paraId="672FC3D6" w14:textId="4FFC1488"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0.38</w:t>
            </w:r>
          </w:p>
        </w:tc>
        <w:tc>
          <w:tcPr>
            <w:tcW w:w="851" w:type="dxa"/>
            <w:tcBorders>
              <w:top w:val="nil"/>
              <w:left w:val="nil"/>
              <w:right w:val="nil"/>
            </w:tcBorders>
            <w:shd w:val="clear" w:color="auto" w:fill="auto"/>
            <w:noWrap/>
            <w:vAlign w:val="bottom"/>
            <w:hideMark/>
          </w:tcPr>
          <w:p w14:paraId="2E78C80D" w14:textId="3A802FB4"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-0.47</w:t>
            </w:r>
          </w:p>
        </w:tc>
        <w:tc>
          <w:tcPr>
            <w:tcW w:w="992" w:type="dxa"/>
            <w:tcBorders>
              <w:top w:val="nil"/>
              <w:left w:val="nil"/>
              <w:right w:val="nil"/>
            </w:tcBorders>
            <w:shd w:val="clear" w:color="auto" w:fill="auto"/>
            <w:noWrap/>
            <w:vAlign w:val="bottom"/>
            <w:hideMark/>
          </w:tcPr>
          <w:p w14:paraId="6A9F765C" w14:textId="54115AB5" w:rsidR="009C5696" w:rsidRPr="00DC1371" w:rsidRDefault="009C5696" w:rsidP="009C5696">
            <w:pPr>
              <w:spacing w:line="240" w:lineRule="auto"/>
              <w:jc w:val="center"/>
              <w:rPr>
                <w:rFonts w:eastAsia="Times New Roman" w:cs="Times New Roman"/>
                <w:color w:val="000000"/>
                <w:szCs w:val="24"/>
                <w:lang w:eastAsia="ru-RU"/>
              </w:rPr>
            </w:pPr>
          </w:p>
        </w:tc>
        <w:tc>
          <w:tcPr>
            <w:tcW w:w="851" w:type="dxa"/>
            <w:tcBorders>
              <w:top w:val="nil"/>
              <w:left w:val="nil"/>
              <w:right w:val="nil"/>
            </w:tcBorders>
            <w:shd w:val="clear" w:color="auto" w:fill="auto"/>
            <w:noWrap/>
            <w:vAlign w:val="bottom"/>
            <w:hideMark/>
          </w:tcPr>
          <w:p w14:paraId="028C86E2" w14:textId="3C4D4501" w:rsidR="009C5696" w:rsidRPr="00DC1371" w:rsidRDefault="009C5696" w:rsidP="009C5696">
            <w:pPr>
              <w:spacing w:line="240" w:lineRule="auto"/>
              <w:jc w:val="center"/>
              <w:rPr>
                <w:rFonts w:eastAsia="Times New Roman" w:cs="Times New Roman"/>
                <w:color w:val="000000"/>
                <w:szCs w:val="24"/>
                <w:lang w:eastAsia="ru-RU"/>
              </w:rPr>
            </w:pPr>
          </w:p>
        </w:tc>
      </w:tr>
      <w:tr w:rsidR="009C5696" w:rsidRPr="00E111CF" w14:paraId="189D26AE" w14:textId="77777777" w:rsidTr="00FB60AF">
        <w:trPr>
          <w:trHeight w:val="300"/>
          <w:jc w:val="center"/>
        </w:trPr>
        <w:tc>
          <w:tcPr>
            <w:tcW w:w="2549" w:type="dxa"/>
            <w:tcBorders>
              <w:top w:val="nil"/>
              <w:left w:val="nil"/>
              <w:bottom w:val="single" w:sz="4" w:space="0" w:color="auto"/>
              <w:right w:val="nil"/>
            </w:tcBorders>
            <w:shd w:val="clear" w:color="auto" w:fill="auto"/>
            <w:noWrap/>
            <w:vAlign w:val="bottom"/>
            <w:hideMark/>
          </w:tcPr>
          <w:p w14:paraId="20328749" w14:textId="2AA29CC6" w:rsidR="009C5696" w:rsidRPr="00DC1371" w:rsidRDefault="009C5696" w:rsidP="009C5696">
            <w:pPr>
              <w:spacing w:line="240" w:lineRule="auto"/>
              <w:jc w:val="left"/>
              <w:rPr>
                <w:rFonts w:eastAsia="Times New Roman" w:cs="Times New Roman"/>
                <w:color w:val="000000"/>
                <w:szCs w:val="24"/>
                <w:lang w:eastAsia="ru-RU"/>
              </w:rPr>
            </w:pPr>
            <w:r>
              <w:rPr>
                <w:rFonts w:eastAsia="Times New Roman" w:cs="Times New Roman"/>
                <w:color w:val="000000"/>
                <w:szCs w:val="24"/>
                <w:lang w:val="en-US" w:eastAsia="ru-RU"/>
              </w:rPr>
              <w:t>Revolutions in the past</w:t>
            </w:r>
          </w:p>
        </w:tc>
        <w:tc>
          <w:tcPr>
            <w:tcW w:w="1030" w:type="dxa"/>
            <w:tcBorders>
              <w:top w:val="nil"/>
              <w:left w:val="nil"/>
              <w:bottom w:val="single" w:sz="4" w:space="0" w:color="auto"/>
              <w:right w:val="nil"/>
            </w:tcBorders>
            <w:shd w:val="clear" w:color="auto" w:fill="auto"/>
            <w:noWrap/>
            <w:vAlign w:val="bottom"/>
            <w:hideMark/>
          </w:tcPr>
          <w:p w14:paraId="4D7CB01E" w14:textId="77777777" w:rsidR="009C5696" w:rsidRPr="00DC1371" w:rsidRDefault="009C5696" w:rsidP="009C5696">
            <w:pPr>
              <w:spacing w:line="240" w:lineRule="auto"/>
              <w:jc w:val="left"/>
              <w:rPr>
                <w:rFonts w:eastAsia="Times New Roman" w:cs="Times New Roman"/>
                <w:color w:val="000000"/>
                <w:szCs w:val="24"/>
                <w:lang w:eastAsia="ru-RU"/>
              </w:rPr>
            </w:pPr>
            <w:proofErr w:type="spellStart"/>
            <w:r w:rsidRPr="00DC1371">
              <w:rPr>
                <w:rFonts w:eastAsia="Times New Roman" w:cs="Times New Roman"/>
                <w:color w:val="000000"/>
                <w:szCs w:val="24"/>
                <w:lang w:eastAsia="ru-RU"/>
              </w:rPr>
              <w:t>optimal</w:t>
            </w:r>
            <w:proofErr w:type="spellEnd"/>
          </w:p>
        </w:tc>
        <w:tc>
          <w:tcPr>
            <w:tcW w:w="957" w:type="dxa"/>
            <w:tcBorders>
              <w:top w:val="nil"/>
              <w:left w:val="nil"/>
              <w:bottom w:val="single" w:sz="4" w:space="0" w:color="auto"/>
              <w:right w:val="nil"/>
            </w:tcBorders>
            <w:shd w:val="clear" w:color="auto" w:fill="auto"/>
            <w:noWrap/>
            <w:vAlign w:val="bottom"/>
            <w:hideMark/>
          </w:tcPr>
          <w:p w14:paraId="437D5C5E" w14:textId="75D43184"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0.53</w:t>
            </w:r>
          </w:p>
        </w:tc>
        <w:tc>
          <w:tcPr>
            <w:tcW w:w="851" w:type="dxa"/>
            <w:tcBorders>
              <w:top w:val="nil"/>
              <w:left w:val="nil"/>
              <w:bottom w:val="single" w:sz="4" w:space="0" w:color="auto"/>
              <w:right w:val="nil"/>
            </w:tcBorders>
            <w:shd w:val="clear" w:color="auto" w:fill="auto"/>
            <w:noWrap/>
            <w:vAlign w:val="bottom"/>
            <w:hideMark/>
          </w:tcPr>
          <w:p w14:paraId="3B4D6A73" w14:textId="0EA6AEF4" w:rsidR="009C5696" w:rsidRPr="00650932" w:rsidRDefault="009C5696" w:rsidP="009C5696">
            <w:pPr>
              <w:spacing w:line="240" w:lineRule="auto"/>
              <w:jc w:val="center"/>
              <w:rPr>
                <w:rFonts w:eastAsia="Times New Roman" w:cs="Times New Roman"/>
                <w:b/>
                <w:bCs/>
                <w:color w:val="000000"/>
                <w:szCs w:val="24"/>
                <w:lang w:eastAsia="ru-RU"/>
              </w:rPr>
            </w:pPr>
            <w:r w:rsidRPr="00650932">
              <w:rPr>
                <w:rFonts w:cs="Times New Roman"/>
                <w:b/>
                <w:bCs/>
                <w:color w:val="000000"/>
                <w:szCs w:val="24"/>
              </w:rPr>
              <w:t>0.22</w:t>
            </w:r>
          </w:p>
        </w:tc>
        <w:tc>
          <w:tcPr>
            <w:tcW w:w="992" w:type="dxa"/>
            <w:tcBorders>
              <w:top w:val="nil"/>
              <w:left w:val="nil"/>
              <w:bottom w:val="single" w:sz="4" w:space="0" w:color="auto"/>
              <w:right w:val="nil"/>
            </w:tcBorders>
            <w:shd w:val="clear" w:color="auto" w:fill="auto"/>
            <w:noWrap/>
            <w:vAlign w:val="bottom"/>
            <w:hideMark/>
          </w:tcPr>
          <w:p w14:paraId="23F991A0" w14:textId="2EBF72EC"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3.79</w:t>
            </w:r>
          </w:p>
        </w:tc>
        <w:tc>
          <w:tcPr>
            <w:tcW w:w="851" w:type="dxa"/>
            <w:tcBorders>
              <w:top w:val="nil"/>
              <w:left w:val="nil"/>
              <w:bottom w:val="single" w:sz="4" w:space="0" w:color="auto"/>
              <w:right w:val="nil"/>
            </w:tcBorders>
            <w:shd w:val="clear" w:color="auto" w:fill="auto"/>
            <w:noWrap/>
            <w:vAlign w:val="bottom"/>
            <w:hideMark/>
          </w:tcPr>
          <w:p w14:paraId="3854646B" w14:textId="3D3CF6B9" w:rsidR="009C5696" w:rsidRPr="00DC1371" w:rsidRDefault="009C5696" w:rsidP="009C5696">
            <w:pPr>
              <w:spacing w:line="240" w:lineRule="auto"/>
              <w:jc w:val="center"/>
              <w:rPr>
                <w:rFonts w:eastAsia="Times New Roman" w:cs="Times New Roman"/>
                <w:color w:val="000000"/>
                <w:szCs w:val="24"/>
                <w:lang w:eastAsia="ru-RU"/>
              </w:rPr>
            </w:pPr>
            <w:r w:rsidRPr="00E111CF">
              <w:rPr>
                <w:rFonts w:cs="Times New Roman"/>
                <w:color w:val="000000"/>
                <w:szCs w:val="24"/>
              </w:rPr>
              <w:t>1.53</w:t>
            </w:r>
          </w:p>
        </w:tc>
      </w:tr>
      <w:tr w:rsidR="005C3DDB" w:rsidRPr="005443CF" w14:paraId="32A9D6D9" w14:textId="77777777" w:rsidTr="00FB60AF">
        <w:trPr>
          <w:trHeight w:val="300"/>
          <w:jc w:val="center"/>
        </w:trPr>
        <w:tc>
          <w:tcPr>
            <w:tcW w:w="7230" w:type="dxa"/>
            <w:gridSpan w:val="6"/>
            <w:tcBorders>
              <w:top w:val="single" w:sz="4" w:space="0" w:color="auto"/>
              <w:left w:val="nil"/>
              <w:right w:val="nil"/>
            </w:tcBorders>
            <w:shd w:val="clear" w:color="auto" w:fill="auto"/>
            <w:noWrap/>
            <w:vAlign w:val="bottom"/>
          </w:tcPr>
          <w:p w14:paraId="2738372F" w14:textId="3F16D66E" w:rsidR="005C3DDB" w:rsidRPr="009C5696" w:rsidRDefault="009C5696" w:rsidP="009C5696">
            <w:pPr>
              <w:spacing w:after="0" w:line="240" w:lineRule="auto"/>
              <w:jc w:val="left"/>
              <w:rPr>
                <w:rFonts w:cs="Times New Roman"/>
                <w:color w:val="000000"/>
                <w:szCs w:val="24"/>
                <w:lang w:val="en-US"/>
              </w:rPr>
            </w:pPr>
            <w:r>
              <w:rPr>
                <w:rFonts w:eastAsia="Times New Roman" w:cs="Times New Roman"/>
                <w:color w:val="000000"/>
                <w:szCs w:val="24"/>
                <w:lang w:val="en-US" w:eastAsia="ru-RU"/>
              </w:rPr>
              <w:t xml:space="preserve">Note: as statistic for balance metrics are gotten averages across 50 imputed datasets; statistic the exceeds critical point is bolded </w:t>
            </w:r>
          </w:p>
        </w:tc>
      </w:tr>
    </w:tbl>
    <w:p w14:paraId="1410EA35" w14:textId="77777777" w:rsidR="009C5696" w:rsidRDefault="009C5696" w:rsidP="00F158E3">
      <w:pPr>
        <w:rPr>
          <w:rFonts w:eastAsiaTheme="minorEastAsia"/>
          <w:i/>
          <w:iCs/>
          <w:lang w:val="en-US"/>
        </w:rPr>
      </w:pPr>
    </w:p>
    <w:p w14:paraId="10EA1F0A" w14:textId="52FB76FF" w:rsidR="00496D26" w:rsidRDefault="008817A4" w:rsidP="00F158E3">
      <w:pPr>
        <w:rPr>
          <w:rFonts w:eastAsiaTheme="minorEastAsia"/>
          <w:i/>
          <w:iCs/>
          <w:lang w:val="en-US"/>
        </w:rPr>
      </w:pPr>
      <w:r w:rsidRPr="008817A4">
        <w:rPr>
          <w:rFonts w:eastAsiaTheme="minorEastAsia"/>
          <w:i/>
          <w:iCs/>
          <w:lang w:val="en-US"/>
        </w:rPr>
        <w:t>Result</w:t>
      </w:r>
      <w:r w:rsidR="00DB6FDC">
        <w:rPr>
          <w:rFonts w:eastAsiaTheme="minorEastAsia"/>
          <w:i/>
          <w:iCs/>
          <w:lang w:val="en-US"/>
        </w:rPr>
        <w:t>s</w:t>
      </w:r>
    </w:p>
    <w:p w14:paraId="0729B925" w14:textId="05F8F680" w:rsidR="00FB60AF" w:rsidRPr="00DB6FDC" w:rsidRDefault="00DB6FDC" w:rsidP="00F158E3">
      <w:pPr>
        <w:rPr>
          <w:rFonts w:eastAsiaTheme="minorEastAsia"/>
          <w:lang w:val="en-US"/>
        </w:rPr>
      </w:pPr>
      <w:r>
        <w:rPr>
          <w:rFonts w:eastAsiaTheme="minorEastAsia"/>
          <w:lang w:val="en-US"/>
        </w:rPr>
        <w:t xml:space="preserve">In the Table 3 models for both dependent variables, from NAVCO 1.3 and Beissinger’s extended data, with implementation of nearest and optimal matching procedure are presented. Due to balanced data on covariates, all models have only one explanatory variable – GDP per capita with its quadratic form. One can see, that income level is significant across exploiting different dependent variables and procedures, whereas its significance lower in models with Beissinger’s </w:t>
      </w:r>
      <w:r>
        <w:rPr>
          <w:rFonts w:eastAsiaTheme="minorEastAsia"/>
          <w:lang w:val="en-US"/>
        </w:rPr>
        <w:lastRenderedPageBreak/>
        <w:t xml:space="preserve">data that is connected with relatively small number of observations in comparison with NAVCO 1.3. </w:t>
      </w:r>
      <w:r w:rsidR="00D73A1B">
        <w:rPr>
          <w:rFonts w:eastAsiaTheme="minorEastAsia"/>
          <w:lang w:val="en-US"/>
        </w:rPr>
        <w:t xml:space="preserve">Meanwhile, both linear and quadratic terms </w:t>
      </w:r>
      <w:r w:rsidR="00414006">
        <w:rPr>
          <w:rFonts w:eastAsiaTheme="minorEastAsia"/>
          <w:lang w:val="en-US"/>
        </w:rPr>
        <w:t>have</w:t>
      </w:r>
      <w:r w:rsidR="00D73A1B">
        <w:rPr>
          <w:rFonts w:eastAsiaTheme="minorEastAsia"/>
          <w:lang w:val="en-US"/>
        </w:rPr>
        <w:t xml:space="preserve"> theoretically expected sign</w:t>
      </w:r>
      <w:r w:rsidR="00414006">
        <w:rPr>
          <w:rFonts w:eastAsiaTheme="minorEastAsia"/>
          <w:lang w:val="en-US"/>
        </w:rPr>
        <w:t>s</w:t>
      </w:r>
      <w:r w:rsidR="00D73A1B">
        <w:rPr>
          <w:rFonts w:eastAsiaTheme="minorEastAsia"/>
          <w:lang w:val="en-US"/>
        </w:rPr>
        <w:t xml:space="preserve">, producing inverted “U”-shape relationship between the probability of unarmed revolution and income level. </w:t>
      </w:r>
    </w:p>
    <w:tbl>
      <w:tblPr>
        <w:tblW w:w="9248" w:type="dxa"/>
        <w:tblLook w:val="04A0" w:firstRow="1" w:lastRow="0" w:firstColumn="1" w:lastColumn="0" w:noHBand="0" w:noVBand="1"/>
      </w:tblPr>
      <w:tblGrid>
        <w:gridCol w:w="2115"/>
        <w:gridCol w:w="1127"/>
        <w:gridCol w:w="640"/>
        <w:gridCol w:w="1154"/>
        <w:gridCol w:w="690"/>
        <w:gridCol w:w="1154"/>
        <w:gridCol w:w="607"/>
        <w:gridCol w:w="1154"/>
        <w:gridCol w:w="607"/>
      </w:tblGrid>
      <w:tr w:rsidR="00FB60AF" w:rsidRPr="005443CF" w14:paraId="392FCF4A" w14:textId="77777777" w:rsidTr="007C696D">
        <w:trPr>
          <w:trHeight w:val="431"/>
        </w:trPr>
        <w:tc>
          <w:tcPr>
            <w:tcW w:w="9248" w:type="dxa"/>
            <w:gridSpan w:val="9"/>
            <w:tcBorders>
              <w:top w:val="nil"/>
              <w:left w:val="nil"/>
              <w:bottom w:val="single" w:sz="4" w:space="0" w:color="auto"/>
              <w:right w:val="nil"/>
            </w:tcBorders>
            <w:shd w:val="clear" w:color="auto" w:fill="auto"/>
            <w:noWrap/>
            <w:vAlign w:val="bottom"/>
          </w:tcPr>
          <w:p w14:paraId="5F61776F" w14:textId="4D18B163" w:rsidR="00FB60AF" w:rsidRPr="00B05311" w:rsidRDefault="00FB60AF" w:rsidP="007C696D">
            <w:pPr>
              <w:spacing w:after="0"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 xml:space="preserve">Table </w:t>
            </w:r>
            <w:r w:rsidR="00DB6FDC">
              <w:rPr>
                <w:rFonts w:eastAsia="Times New Roman" w:cs="Times New Roman"/>
                <w:color w:val="000000"/>
                <w:szCs w:val="24"/>
                <w:lang w:val="en-US" w:eastAsia="ru-RU"/>
              </w:rPr>
              <w:t>3</w:t>
            </w:r>
            <w:r>
              <w:rPr>
                <w:rFonts w:eastAsia="Times New Roman" w:cs="Times New Roman"/>
                <w:color w:val="000000"/>
                <w:szCs w:val="24"/>
                <w:lang w:val="en-US" w:eastAsia="ru-RU"/>
              </w:rPr>
              <w:t xml:space="preserve">. </w:t>
            </w:r>
            <w:r w:rsidR="00D423EF">
              <w:rPr>
                <w:rFonts w:eastAsia="Helvetica" w:cs="Times New Roman"/>
                <w:color w:val="000000"/>
                <w:szCs w:val="24"/>
                <w:lang w:val="en-US"/>
              </w:rPr>
              <w:t>Logistic regression models on unarmed revolutions occurrence with different matching procedures</w:t>
            </w:r>
          </w:p>
        </w:tc>
      </w:tr>
      <w:tr w:rsidR="00FB60AF" w:rsidRPr="00B05311" w14:paraId="438C82AD" w14:textId="77777777" w:rsidTr="007C696D">
        <w:trPr>
          <w:trHeight w:val="431"/>
        </w:trPr>
        <w:tc>
          <w:tcPr>
            <w:tcW w:w="2115" w:type="dxa"/>
            <w:vMerge w:val="restart"/>
            <w:tcBorders>
              <w:top w:val="single" w:sz="4" w:space="0" w:color="auto"/>
              <w:left w:val="nil"/>
              <w:bottom w:val="single" w:sz="4" w:space="0" w:color="auto"/>
              <w:right w:val="nil"/>
            </w:tcBorders>
            <w:shd w:val="clear" w:color="auto" w:fill="auto"/>
            <w:noWrap/>
            <w:vAlign w:val="bottom"/>
          </w:tcPr>
          <w:p w14:paraId="7A302E49" w14:textId="77777777" w:rsidR="00FB60AF" w:rsidRPr="00B05311" w:rsidRDefault="00FB60AF" w:rsidP="007C696D">
            <w:pPr>
              <w:spacing w:after="0"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Variable</w:t>
            </w:r>
          </w:p>
        </w:tc>
        <w:tc>
          <w:tcPr>
            <w:tcW w:w="3611" w:type="dxa"/>
            <w:gridSpan w:val="4"/>
            <w:tcBorders>
              <w:top w:val="single" w:sz="4" w:space="0" w:color="auto"/>
              <w:left w:val="nil"/>
              <w:bottom w:val="single" w:sz="4" w:space="0" w:color="auto"/>
              <w:right w:val="nil"/>
            </w:tcBorders>
            <w:shd w:val="clear" w:color="auto" w:fill="auto"/>
            <w:noWrap/>
            <w:vAlign w:val="bottom"/>
          </w:tcPr>
          <w:p w14:paraId="256C8FA5" w14:textId="77777777" w:rsidR="00FB60AF" w:rsidRPr="00B05311"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NAVCO 1.3</w:t>
            </w:r>
          </w:p>
        </w:tc>
        <w:tc>
          <w:tcPr>
            <w:tcW w:w="3522" w:type="dxa"/>
            <w:gridSpan w:val="4"/>
            <w:tcBorders>
              <w:top w:val="single" w:sz="4" w:space="0" w:color="auto"/>
              <w:left w:val="nil"/>
              <w:bottom w:val="single" w:sz="4" w:space="0" w:color="auto"/>
              <w:right w:val="nil"/>
            </w:tcBorders>
            <w:shd w:val="clear" w:color="auto" w:fill="auto"/>
            <w:noWrap/>
            <w:vAlign w:val="bottom"/>
          </w:tcPr>
          <w:p w14:paraId="50CF80C9" w14:textId="77777777" w:rsidR="00FB60AF" w:rsidRPr="00B05311"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Beissinger’s extended data</w:t>
            </w:r>
          </w:p>
        </w:tc>
      </w:tr>
      <w:tr w:rsidR="00FB60AF" w:rsidRPr="00B05311" w14:paraId="64BD333C" w14:textId="77777777" w:rsidTr="007C696D">
        <w:trPr>
          <w:trHeight w:val="431"/>
        </w:trPr>
        <w:tc>
          <w:tcPr>
            <w:tcW w:w="2115" w:type="dxa"/>
            <w:vMerge/>
            <w:tcBorders>
              <w:left w:val="nil"/>
              <w:bottom w:val="single" w:sz="4" w:space="0" w:color="auto"/>
              <w:right w:val="nil"/>
            </w:tcBorders>
            <w:shd w:val="clear" w:color="auto" w:fill="auto"/>
            <w:noWrap/>
            <w:vAlign w:val="bottom"/>
          </w:tcPr>
          <w:p w14:paraId="007DF0A8" w14:textId="77777777" w:rsidR="00FB60AF" w:rsidRPr="00B05311" w:rsidRDefault="00FB60AF" w:rsidP="007C696D">
            <w:pPr>
              <w:spacing w:after="0" w:line="240" w:lineRule="auto"/>
              <w:jc w:val="left"/>
              <w:rPr>
                <w:rFonts w:eastAsia="Times New Roman" w:cs="Times New Roman"/>
                <w:color w:val="000000"/>
                <w:szCs w:val="24"/>
                <w:lang w:eastAsia="ru-RU"/>
              </w:rPr>
            </w:pPr>
          </w:p>
        </w:tc>
        <w:tc>
          <w:tcPr>
            <w:tcW w:w="1767" w:type="dxa"/>
            <w:gridSpan w:val="2"/>
            <w:tcBorders>
              <w:top w:val="single" w:sz="4" w:space="0" w:color="auto"/>
              <w:left w:val="nil"/>
              <w:bottom w:val="single" w:sz="4" w:space="0" w:color="auto"/>
              <w:right w:val="nil"/>
            </w:tcBorders>
            <w:shd w:val="clear" w:color="auto" w:fill="auto"/>
            <w:noWrap/>
            <w:vAlign w:val="bottom"/>
          </w:tcPr>
          <w:p w14:paraId="7A860D48" w14:textId="77777777" w:rsidR="00FB60AF" w:rsidRPr="00B05311"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Nearest</w:t>
            </w:r>
          </w:p>
        </w:tc>
        <w:tc>
          <w:tcPr>
            <w:tcW w:w="1844" w:type="dxa"/>
            <w:gridSpan w:val="2"/>
            <w:tcBorders>
              <w:top w:val="single" w:sz="4" w:space="0" w:color="auto"/>
              <w:left w:val="nil"/>
              <w:bottom w:val="single" w:sz="4" w:space="0" w:color="auto"/>
              <w:right w:val="nil"/>
            </w:tcBorders>
            <w:shd w:val="clear" w:color="auto" w:fill="auto"/>
            <w:noWrap/>
            <w:vAlign w:val="bottom"/>
          </w:tcPr>
          <w:p w14:paraId="03B88277" w14:textId="77777777" w:rsidR="00FB60AF" w:rsidRPr="00B05311"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Optimal</w:t>
            </w:r>
          </w:p>
        </w:tc>
        <w:tc>
          <w:tcPr>
            <w:tcW w:w="1761" w:type="dxa"/>
            <w:gridSpan w:val="2"/>
            <w:tcBorders>
              <w:top w:val="single" w:sz="4" w:space="0" w:color="auto"/>
              <w:left w:val="nil"/>
              <w:bottom w:val="single" w:sz="4" w:space="0" w:color="auto"/>
              <w:right w:val="nil"/>
            </w:tcBorders>
            <w:shd w:val="clear" w:color="auto" w:fill="auto"/>
            <w:noWrap/>
            <w:vAlign w:val="bottom"/>
          </w:tcPr>
          <w:p w14:paraId="5871BF1C" w14:textId="77777777" w:rsidR="00FB60AF" w:rsidRPr="00B05311" w:rsidRDefault="00FB60AF" w:rsidP="007C696D">
            <w:pPr>
              <w:spacing w:after="0" w:line="240" w:lineRule="auto"/>
              <w:jc w:val="center"/>
              <w:rPr>
                <w:rFonts w:eastAsia="Times New Roman" w:cs="Times New Roman"/>
                <w:color w:val="000000"/>
                <w:szCs w:val="24"/>
                <w:lang w:eastAsia="ru-RU"/>
              </w:rPr>
            </w:pPr>
            <w:r w:rsidRPr="00B05311">
              <w:rPr>
                <w:rFonts w:eastAsia="Times New Roman" w:cs="Times New Roman"/>
                <w:color w:val="000000"/>
                <w:szCs w:val="24"/>
                <w:lang w:val="en-US" w:eastAsia="ru-RU"/>
              </w:rPr>
              <w:t>Nearest</w:t>
            </w:r>
          </w:p>
        </w:tc>
        <w:tc>
          <w:tcPr>
            <w:tcW w:w="1761" w:type="dxa"/>
            <w:gridSpan w:val="2"/>
            <w:tcBorders>
              <w:top w:val="single" w:sz="4" w:space="0" w:color="auto"/>
              <w:left w:val="nil"/>
              <w:bottom w:val="single" w:sz="4" w:space="0" w:color="auto"/>
              <w:right w:val="nil"/>
            </w:tcBorders>
            <w:shd w:val="clear" w:color="auto" w:fill="auto"/>
            <w:noWrap/>
            <w:vAlign w:val="bottom"/>
          </w:tcPr>
          <w:p w14:paraId="1EBD71A3" w14:textId="77777777" w:rsidR="00FB60AF" w:rsidRPr="00B05311" w:rsidRDefault="00FB60AF" w:rsidP="007C696D">
            <w:pPr>
              <w:spacing w:after="0" w:line="240" w:lineRule="auto"/>
              <w:jc w:val="center"/>
              <w:rPr>
                <w:rFonts w:eastAsia="Times New Roman" w:cs="Times New Roman"/>
                <w:color w:val="000000"/>
                <w:szCs w:val="24"/>
                <w:lang w:eastAsia="ru-RU"/>
              </w:rPr>
            </w:pPr>
            <w:r w:rsidRPr="00B05311">
              <w:rPr>
                <w:rFonts w:eastAsia="Times New Roman" w:cs="Times New Roman"/>
                <w:color w:val="000000"/>
                <w:szCs w:val="24"/>
                <w:lang w:val="en-US" w:eastAsia="ru-RU"/>
              </w:rPr>
              <w:t>Optimal</w:t>
            </w:r>
          </w:p>
        </w:tc>
      </w:tr>
      <w:tr w:rsidR="00FB60AF" w:rsidRPr="00B05311" w14:paraId="5E5B533F" w14:textId="77777777" w:rsidTr="007C696D">
        <w:trPr>
          <w:trHeight w:val="431"/>
        </w:trPr>
        <w:tc>
          <w:tcPr>
            <w:tcW w:w="2115" w:type="dxa"/>
            <w:vMerge/>
            <w:tcBorders>
              <w:left w:val="nil"/>
              <w:bottom w:val="single" w:sz="4" w:space="0" w:color="auto"/>
              <w:right w:val="nil"/>
            </w:tcBorders>
            <w:shd w:val="clear" w:color="auto" w:fill="auto"/>
            <w:noWrap/>
            <w:vAlign w:val="bottom"/>
            <w:hideMark/>
          </w:tcPr>
          <w:p w14:paraId="49636767" w14:textId="77777777" w:rsidR="00FB60AF" w:rsidRPr="00EA5D6B" w:rsidRDefault="00FB60AF" w:rsidP="007C696D">
            <w:pPr>
              <w:spacing w:after="0" w:line="240" w:lineRule="auto"/>
              <w:jc w:val="left"/>
              <w:rPr>
                <w:rFonts w:eastAsia="Times New Roman" w:cs="Times New Roman"/>
                <w:color w:val="000000"/>
                <w:szCs w:val="24"/>
                <w:lang w:eastAsia="ru-RU"/>
              </w:rPr>
            </w:pPr>
          </w:p>
        </w:tc>
        <w:tc>
          <w:tcPr>
            <w:tcW w:w="1127" w:type="dxa"/>
            <w:tcBorders>
              <w:top w:val="single" w:sz="4" w:space="0" w:color="auto"/>
              <w:left w:val="nil"/>
              <w:bottom w:val="single" w:sz="4" w:space="0" w:color="auto"/>
              <w:right w:val="nil"/>
            </w:tcBorders>
            <w:shd w:val="clear" w:color="auto" w:fill="auto"/>
            <w:noWrap/>
            <w:vAlign w:val="bottom"/>
            <w:hideMark/>
          </w:tcPr>
          <w:p w14:paraId="0582B5C2"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b</w:t>
            </w:r>
          </w:p>
        </w:tc>
        <w:tc>
          <w:tcPr>
            <w:tcW w:w="640" w:type="dxa"/>
            <w:tcBorders>
              <w:top w:val="single" w:sz="4" w:space="0" w:color="auto"/>
              <w:left w:val="nil"/>
              <w:bottom w:val="single" w:sz="4" w:space="0" w:color="auto"/>
              <w:right w:val="nil"/>
            </w:tcBorders>
            <w:shd w:val="clear" w:color="auto" w:fill="auto"/>
            <w:noWrap/>
            <w:vAlign w:val="bottom"/>
            <w:hideMark/>
          </w:tcPr>
          <w:p w14:paraId="02839711" w14:textId="77777777" w:rsidR="00FB60AF" w:rsidRPr="00EA5D6B" w:rsidRDefault="00FB60AF" w:rsidP="007C696D">
            <w:pPr>
              <w:spacing w:after="0" w:line="240" w:lineRule="auto"/>
              <w:jc w:val="center"/>
              <w:rPr>
                <w:rFonts w:eastAsia="Times New Roman" w:cs="Times New Roman"/>
                <w:color w:val="000000"/>
                <w:szCs w:val="24"/>
                <w:lang w:eastAsia="ru-RU"/>
              </w:rPr>
            </w:pPr>
            <w:proofErr w:type="spellStart"/>
            <w:r w:rsidRPr="00EA5D6B">
              <w:rPr>
                <w:rFonts w:eastAsia="Times New Roman" w:cs="Times New Roman"/>
                <w:color w:val="000000"/>
                <w:szCs w:val="24"/>
                <w:lang w:eastAsia="ru-RU"/>
              </w:rPr>
              <w:t>se</w:t>
            </w:r>
            <w:proofErr w:type="spellEnd"/>
          </w:p>
        </w:tc>
        <w:tc>
          <w:tcPr>
            <w:tcW w:w="1154" w:type="dxa"/>
            <w:tcBorders>
              <w:top w:val="single" w:sz="4" w:space="0" w:color="auto"/>
              <w:left w:val="nil"/>
              <w:bottom w:val="single" w:sz="4" w:space="0" w:color="auto"/>
              <w:right w:val="nil"/>
            </w:tcBorders>
            <w:shd w:val="clear" w:color="auto" w:fill="auto"/>
            <w:noWrap/>
            <w:vAlign w:val="bottom"/>
            <w:hideMark/>
          </w:tcPr>
          <w:p w14:paraId="0D471483"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b</w:t>
            </w:r>
          </w:p>
        </w:tc>
        <w:tc>
          <w:tcPr>
            <w:tcW w:w="690" w:type="dxa"/>
            <w:tcBorders>
              <w:top w:val="single" w:sz="4" w:space="0" w:color="auto"/>
              <w:left w:val="nil"/>
              <w:bottom w:val="single" w:sz="4" w:space="0" w:color="auto"/>
              <w:right w:val="nil"/>
            </w:tcBorders>
            <w:shd w:val="clear" w:color="auto" w:fill="auto"/>
            <w:noWrap/>
            <w:vAlign w:val="bottom"/>
            <w:hideMark/>
          </w:tcPr>
          <w:p w14:paraId="7AEA94F2"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se</w:t>
            </w:r>
          </w:p>
        </w:tc>
        <w:tc>
          <w:tcPr>
            <w:tcW w:w="1154" w:type="dxa"/>
            <w:tcBorders>
              <w:top w:val="single" w:sz="4" w:space="0" w:color="auto"/>
              <w:left w:val="nil"/>
              <w:bottom w:val="single" w:sz="4" w:space="0" w:color="auto"/>
              <w:right w:val="nil"/>
            </w:tcBorders>
            <w:shd w:val="clear" w:color="auto" w:fill="auto"/>
            <w:noWrap/>
            <w:vAlign w:val="bottom"/>
            <w:hideMark/>
          </w:tcPr>
          <w:p w14:paraId="1460F0F5"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b</w:t>
            </w:r>
          </w:p>
        </w:tc>
        <w:tc>
          <w:tcPr>
            <w:tcW w:w="607" w:type="dxa"/>
            <w:tcBorders>
              <w:top w:val="single" w:sz="4" w:space="0" w:color="auto"/>
              <w:left w:val="nil"/>
              <w:bottom w:val="single" w:sz="4" w:space="0" w:color="auto"/>
              <w:right w:val="nil"/>
            </w:tcBorders>
            <w:shd w:val="clear" w:color="auto" w:fill="auto"/>
            <w:noWrap/>
            <w:vAlign w:val="bottom"/>
            <w:hideMark/>
          </w:tcPr>
          <w:p w14:paraId="6608A485"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se</w:t>
            </w:r>
          </w:p>
        </w:tc>
        <w:tc>
          <w:tcPr>
            <w:tcW w:w="1154" w:type="dxa"/>
            <w:tcBorders>
              <w:top w:val="single" w:sz="4" w:space="0" w:color="auto"/>
              <w:left w:val="nil"/>
              <w:bottom w:val="single" w:sz="4" w:space="0" w:color="auto"/>
              <w:right w:val="nil"/>
            </w:tcBorders>
            <w:shd w:val="clear" w:color="auto" w:fill="auto"/>
            <w:noWrap/>
            <w:vAlign w:val="bottom"/>
            <w:hideMark/>
          </w:tcPr>
          <w:p w14:paraId="749C6106"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b</w:t>
            </w:r>
          </w:p>
        </w:tc>
        <w:tc>
          <w:tcPr>
            <w:tcW w:w="607" w:type="dxa"/>
            <w:tcBorders>
              <w:top w:val="single" w:sz="4" w:space="0" w:color="auto"/>
              <w:left w:val="nil"/>
              <w:bottom w:val="single" w:sz="4" w:space="0" w:color="auto"/>
              <w:right w:val="nil"/>
            </w:tcBorders>
            <w:shd w:val="clear" w:color="auto" w:fill="auto"/>
            <w:noWrap/>
            <w:vAlign w:val="bottom"/>
            <w:hideMark/>
          </w:tcPr>
          <w:p w14:paraId="2E4313CC" w14:textId="77777777" w:rsidR="00FB60AF" w:rsidRPr="00EA5D6B" w:rsidRDefault="00FB60AF" w:rsidP="007C696D">
            <w:pPr>
              <w:spacing w:after="0" w:line="240" w:lineRule="auto"/>
              <w:jc w:val="center"/>
              <w:rPr>
                <w:rFonts w:eastAsia="Times New Roman" w:cs="Times New Roman"/>
                <w:color w:val="000000"/>
                <w:szCs w:val="24"/>
                <w:lang w:val="en-US" w:eastAsia="ru-RU"/>
              </w:rPr>
            </w:pPr>
            <w:r w:rsidRPr="00B05311">
              <w:rPr>
                <w:rFonts w:eastAsia="Times New Roman" w:cs="Times New Roman"/>
                <w:color w:val="000000"/>
                <w:szCs w:val="24"/>
                <w:lang w:val="en-US" w:eastAsia="ru-RU"/>
              </w:rPr>
              <w:t>se</w:t>
            </w:r>
          </w:p>
        </w:tc>
      </w:tr>
      <w:tr w:rsidR="00EE188B" w:rsidRPr="00B05311" w14:paraId="1CFA0A74" w14:textId="77777777" w:rsidTr="007C696D">
        <w:trPr>
          <w:trHeight w:val="431"/>
        </w:trPr>
        <w:tc>
          <w:tcPr>
            <w:tcW w:w="2115" w:type="dxa"/>
            <w:tcBorders>
              <w:top w:val="single" w:sz="4" w:space="0" w:color="auto"/>
              <w:left w:val="nil"/>
              <w:bottom w:val="nil"/>
              <w:right w:val="nil"/>
            </w:tcBorders>
            <w:shd w:val="clear" w:color="auto" w:fill="auto"/>
            <w:noWrap/>
            <w:vAlign w:val="bottom"/>
            <w:hideMark/>
          </w:tcPr>
          <w:p w14:paraId="7095856E" w14:textId="77777777" w:rsidR="00EE188B" w:rsidRPr="00EA5D6B" w:rsidRDefault="00EE188B" w:rsidP="00EE188B">
            <w:pPr>
              <w:spacing w:line="240" w:lineRule="auto"/>
              <w:jc w:val="left"/>
              <w:rPr>
                <w:rFonts w:eastAsia="Times New Roman" w:cs="Times New Roman"/>
                <w:color w:val="000000"/>
                <w:szCs w:val="24"/>
                <w:lang w:eastAsia="ru-RU"/>
              </w:rPr>
            </w:pPr>
            <w:r w:rsidRPr="00EA5D6B">
              <w:rPr>
                <w:rFonts w:eastAsia="Times New Roman" w:cs="Times New Roman"/>
                <w:color w:val="000000"/>
                <w:szCs w:val="24"/>
                <w:lang w:eastAsia="ru-RU"/>
              </w:rPr>
              <w:t>(</w:t>
            </w:r>
            <w:proofErr w:type="spellStart"/>
            <w:r w:rsidRPr="00EA5D6B">
              <w:rPr>
                <w:rFonts w:eastAsia="Times New Roman" w:cs="Times New Roman"/>
                <w:color w:val="000000"/>
                <w:szCs w:val="24"/>
                <w:lang w:eastAsia="ru-RU"/>
              </w:rPr>
              <w:t>Intercept</w:t>
            </w:r>
            <w:proofErr w:type="spellEnd"/>
            <w:r w:rsidRPr="00EA5D6B">
              <w:rPr>
                <w:rFonts w:eastAsia="Times New Roman" w:cs="Times New Roman"/>
                <w:color w:val="000000"/>
                <w:szCs w:val="24"/>
                <w:lang w:eastAsia="ru-RU"/>
              </w:rPr>
              <w:t>)</w:t>
            </w:r>
          </w:p>
        </w:tc>
        <w:tc>
          <w:tcPr>
            <w:tcW w:w="1127" w:type="dxa"/>
            <w:tcBorders>
              <w:top w:val="single" w:sz="4" w:space="0" w:color="auto"/>
              <w:left w:val="nil"/>
              <w:bottom w:val="nil"/>
              <w:right w:val="nil"/>
            </w:tcBorders>
            <w:shd w:val="clear" w:color="auto" w:fill="auto"/>
            <w:noWrap/>
            <w:vAlign w:val="bottom"/>
            <w:hideMark/>
          </w:tcPr>
          <w:p w14:paraId="332CBC3B" w14:textId="3BE5EF41"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-17.2**</w:t>
            </w:r>
          </w:p>
        </w:tc>
        <w:tc>
          <w:tcPr>
            <w:tcW w:w="640" w:type="dxa"/>
            <w:tcBorders>
              <w:top w:val="single" w:sz="4" w:space="0" w:color="auto"/>
              <w:left w:val="nil"/>
              <w:bottom w:val="nil"/>
              <w:right w:val="nil"/>
            </w:tcBorders>
            <w:shd w:val="clear" w:color="auto" w:fill="auto"/>
            <w:noWrap/>
            <w:vAlign w:val="bottom"/>
            <w:hideMark/>
          </w:tcPr>
          <w:p w14:paraId="563DF33B" w14:textId="66489ADB"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5.53</w:t>
            </w:r>
          </w:p>
        </w:tc>
        <w:tc>
          <w:tcPr>
            <w:tcW w:w="1154" w:type="dxa"/>
            <w:tcBorders>
              <w:top w:val="single" w:sz="4" w:space="0" w:color="auto"/>
              <w:left w:val="nil"/>
              <w:bottom w:val="nil"/>
              <w:right w:val="nil"/>
            </w:tcBorders>
            <w:shd w:val="clear" w:color="auto" w:fill="auto"/>
            <w:noWrap/>
            <w:vAlign w:val="bottom"/>
            <w:hideMark/>
          </w:tcPr>
          <w:p w14:paraId="21A9096F" w14:textId="7547E14E"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-17.43**</w:t>
            </w:r>
          </w:p>
        </w:tc>
        <w:tc>
          <w:tcPr>
            <w:tcW w:w="690" w:type="dxa"/>
            <w:tcBorders>
              <w:top w:val="single" w:sz="4" w:space="0" w:color="auto"/>
              <w:left w:val="nil"/>
              <w:bottom w:val="nil"/>
              <w:right w:val="nil"/>
            </w:tcBorders>
            <w:shd w:val="clear" w:color="auto" w:fill="auto"/>
            <w:noWrap/>
            <w:vAlign w:val="bottom"/>
            <w:hideMark/>
          </w:tcPr>
          <w:p w14:paraId="6CDBA97C" w14:textId="22D7581B"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5.54</w:t>
            </w:r>
          </w:p>
        </w:tc>
        <w:tc>
          <w:tcPr>
            <w:tcW w:w="1154" w:type="dxa"/>
            <w:tcBorders>
              <w:top w:val="single" w:sz="4" w:space="0" w:color="auto"/>
              <w:left w:val="nil"/>
              <w:bottom w:val="nil"/>
              <w:right w:val="nil"/>
            </w:tcBorders>
            <w:shd w:val="clear" w:color="auto" w:fill="auto"/>
            <w:noWrap/>
            <w:vAlign w:val="bottom"/>
            <w:hideMark/>
          </w:tcPr>
          <w:p w14:paraId="4201E2CC" w14:textId="6FB0E681"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-16.16*</w:t>
            </w:r>
          </w:p>
        </w:tc>
        <w:tc>
          <w:tcPr>
            <w:tcW w:w="607" w:type="dxa"/>
            <w:tcBorders>
              <w:top w:val="single" w:sz="4" w:space="0" w:color="auto"/>
              <w:left w:val="nil"/>
              <w:bottom w:val="nil"/>
              <w:right w:val="nil"/>
            </w:tcBorders>
            <w:shd w:val="clear" w:color="auto" w:fill="auto"/>
            <w:noWrap/>
            <w:vAlign w:val="bottom"/>
            <w:hideMark/>
          </w:tcPr>
          <w:p w14:paraId="5D668366" w14:textId="27331F87"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6.76</w:t>
            </w:r>
          </w:p>
        </w:tc>
        <w:tc>
          <w:tcPr>
            <w:tcW w:w="1154" w:type="dxa"/>
            <w:tcBorders>
              <w:top w:val="single" w:sz="4" w:space="0" w:color="auto"/>
              <w:left w:val="nil"/>
              <w:bottom w:val="nil"/>
              <w:right w:val="nil"/>
            </w:tcBorders>
            <w:shd w:val="clear" w:color="auto" w:fill="auto"/>
            <w:noWrap/>
            <w:vAlign w:val="bottom"/>
            <w:hideMark/>
          </w:tcPr>
          <w:p w14:paraId="40CBD159" w14:textId="13304303"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-16.1*</w:t>
            </w:r>
          </w:p>
        </w:tc>
        <w:tc>
          <w:tcPr>
            <w:tcW w:w="607" w:type="dxa"/>
            <w:tcBorders>
              <w:top w:val="single" w:sz="4" w:space="0" w:color="auto"/>
              <w:left w:val="nil"/>
              <w:bottom w:val="nil"/>
              <w:right w:val="nil"/>
            </w:tcBorders>
            <w:shd w:val="clear" w:color="auto" w:fill="auto"/>
            <w:noWrap/>
            <w:vAlign w:val="bottom"/>
            <w:hideMark/>
          </w:tcPr>
          <w:p w14:paraId="662B0F62" w14:textId="147577FE"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6.74</w:t>
            </w:r>
          </w:p>
        </w:tc>
      </w:tr>
      <w:tr w:rsidR="00EE188B" w:rsidRPr="00B05311" w14:paraId="56651C55" w14:textId="77777777" w:rsidTr="007C696D">
        <w:trPr>
          <w:trHeight w:val="431"/>
        </w:trPr>
        <w:tc>
          <w:tcPr>
            <w:tcW w:w="2115" w:type="dxa"/>
            <w:tcBorders>
              <w:top w:val="nil"/>
              <w:left w:val="nil"/>
              <w:right w:val="nil"/>
            </w:tcBorders>
            <w:shd w:val="clear" w:color="auto" w:fill="auto"/>
            <w:noWrap/>
            <w:vAlign w:val="bottom"/>
            <w:hideMark/>
          </w:tcPr>
          <w:p w14:paraId="3F6FD48A" w14:textId="77777777" w:rsidR="00EE188B" w:rsidRPr="00EA5D6B" w:rsidRDefault="00EE188B" w:rsidP="00EE188B">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GDP per capita, ln</w:t>
            </w:r>
          </w:p>
        </w:tc>
        <w:tc>
          <w:tcPr>
            <w:tcW w:w="1127" w:type="dxa"/>
            <w:tcBorders>
              <w:top w:val="nil"/>
              <w:left w:val="nil"/>
              <w:right w:val="nil"/>
            </w:tcBorders>
            <w:shd w:val="clear" w:color="auto" w:fill="auto"/>
            <w:noWrap/>
            <w:vAlign w:val="bottom"/>
            <w:hideMark/>
          </w:tcPr>
          <w:p w14:paraId="40398827" w14:textId="11D097D5"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3.84**</w:t>
            </w:r>
          </w:p>
        </w:tc>
        <w:tc>
          <w:tcPr>
            <w:tcW w:w="640" w:type="dxa"/>
            <w:tcBorders>
              <w:top w:val="nil"/>
              <w:left w:val="nil"/>
              <w:right w:val="nil"/>
            </w:tcBorders>
            <w:shd w:val="clear" w:color="auto" w:fill="auto"/>
            <w:noWrap/>
            <w:vAlign w:val="bottom"/>
            <w:hideMark/>
          </w:tcPr>
          <w:p w14:paraId="7A2907B9" w14:textId="3FB3D13F"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1.29</w:t>
            </w:r>
          </w:p>
        </w:tc>
        <w:tc>
          <w:tcPr>
            <w:tcW w:w="1154" w:type="dxa"/>
            <w:tcBorders>
              <w:top w:val="nil"/>
              <w:left w:val="nil"/>
              <w:right w:val="nil"/>
            </w:tcBorders>
            <w:shd w:val="clear" w:color="auto" w:fill="auto"/>
            <w:noWrap/>
            <w:vAlign w:val="bottom"/>
            <w:hideMark/>
          </w:tcPr>
          <w:p w14:paraId="131A2FF5" w14:textId="6E987A66"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3.9**</w:t>
            </w:r>
          </w:p>
        </w:tc>
        <w:tc>
          <w:tcPr>
            <w:tcW w:w="690" w:type="dxa"/>
            <w:tcBorders>
              <w:top w:val="nil"/>
              <w:left w:val="nil"/>
              <w:right w:val="nil"/>
            </w:tcBorders>
            <w:shd w:val="clear" w:color="auto" w:fill="auto"/>
            <w:noWrap/>
            <w:vAlign w:val="bottom"/>
            <w:hideMark/>
          </w:tcPr>
          <w:p w14:paraId="6EAE851F" w14:textId="15841E93"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1.29</w:t>
            </w:r>
          </w:p>
        </w:tc>
        <w:tc>
          <w:tcPr>
            <w:tcW w:w="1154" w:type="dxa"/>
            <w:tcBorders>
              <w:top w:val="nil"/>
              <w:left w:val="nil"/>
              <w:right w:val="nil"/>
            </w:tcBorders>
            <w:shd w:val="clear" w:color="auto" w:fill="auto"/>
            <w:noWrap/>
            <w:vAlign w:val="bottom"/>
            <w:hideMark/>
          </w:tcPr>
          <w:p w14:paraId="3835DC2A" w14:textId="05148C12"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3.55*</w:t>
            </w:r>
          </w:p>
        </w:tc>
        <w:tc>
          <w:tcPr>
            <w:tcW w:w="607" w:type="dxa"/>
            <w:tcBorders>
              <w:top w:val="nil"/>
              <w:left w:val="nil"/>
              <w:right w:val="nil"/>
            </w:tcBorders>
            <w:shd w:val="clear" w:color="auto" w:fill="auto"/>
            <w:noWrap/>
            <w:vAlign w:val="bottom"/>
            <w:hideMark/>
          </w:tcPr>
          <w:p w14:paraId="054C124D" w14:textId="55A360FC"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1.56</w:t>
            </w:r>
          </w:p>
        </w:tc>
        <w:tc>
          <w:tcPr>
            <w:tcW w:w="1154" w:type="dxa"/>
            <w:tcBorders>
              <w:top w:val="nil"/>
              <w:left w:val="nil"/>
              <w:right w:val="nil"/>
            </w:tcBorders>
            <w:shd w:val="clear" w:color="auto" w:fill="auto"/>
            <w:noWrap/>
            <w:vAlign w:val="bottom"/>
            <w:hideMark/>
          </w:tcPr>
          <w:p w14:paraId="5266BBAF" w14:textId="1B1A1576"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3.54*</w:t>
            </w:r>
          </w:p>
        </w:tc>
        <w:tc>
          <w:tcPr>
            <w:tcW w:w="607" w:type="dxa"/>
            <w:tcBorders>
              <w:top w:val="nil"/>
              <w:left w:val="nil"/>
              <w:right w:val="nil"/>
            </w:tcBorders>
            <w:shd w:val="clear" w:color="auto" w:fill="auto"/>
            <w:noWrap/>
            <w:vAlign w:val="bottom"/>
            <w:hideMark/>
          </w:tcPr>
          <w:p w14:paraId="4A3B0CC1" w14:textId="303FE3E0"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1.55</w:t>
            </w:r>
          </w:p>
        </w:tc>
      </w:tr>
      <w:tr w:rsidR="00EE188B" w:rsidRPr="00B05311" w14:paraId="6015FFAE" w14:textId="77777777" w:rsidTr="007C696D">
        <w:trPr>
          <w:trHeight w:val="431"/>
        </w:trPr>
        <w:tc>
          <w:tcPr>
            <w:tcW w:w="2115" w:type="dxa"/>
            <w:tcBorders>
              <w:top w:val="nil"/>
              <w:left w:val="nil"/>
              <w:bottom w:val="single" w:sz="4" w:space="0" w:color="auto"/>
              <w:right w:val="nil"/>
            </w:tcBorders>
            <w:shd w:val="clear" w:color="auto" w:fill="auto"/>
            <w:noWrap/>
            <w:vAlign w:val="bottom"/>
            <w:hideMark/>
          </w:tcPr>
          <w:p w14:paraId="7FFCC902" w14:textId="77777777" w:rsidR="00EE188B" w:rsidRPr="00EA5D6B" w:rsidRDefault="00EE188B" w:rsidP="00EE188B">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GDP per capita, squared, ln</w:t>
            </w:r>
          </w:p>
        </w:tc>
        <w:tc>
          <w:tcPr>
            <w:tcW w:w="1127" w:type="dxa"/>
            <w:tcBorders>
              <w:top w:val="nil"/>
              <w:left w:val="nil"/>
              <w:bottom w:val="single" w:sz="4" w:space="0" w:color="auto"/>
              <w:right w:val="nil"/>
            </w:tcBorders>
            <w:shd w:val="clear" w:color="auto" w:fill="auto"/>
            <w:noWrap/>
            <w:vAlign w:val="bottom"/>
            <w:hideMark/>
          </w:tcPr>
          <w:p w14:paraId="1FB853A8" w14:textId="76CD9FD3"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-0.22**</w:t>
            </w:r>
          </w:p>
        </w:tc>
        <w:tc>
          <w:tcPr>
            <w:tcW w:w="640" w:type="dxa"/>
            <w:tcBorders>
              <w:top w:val="nil"/>
              <w:left w:val="nil"/>
              <w:bottom w:val="single" w:sz="4" w:space="0" w:color="auto"/>
              <w:right w:val="nil"/>
            </w:tcBorders>
            <w:shd w:val="clear" w:color="auto" w:fill="auto"/>
            <w:noWrap/>
            <w:vAlign w:val="bottom"/>
            <w:hideMark/>
          </w:tcPr>
          <w:p w14:paraId="7D6E0628" w14:textId="4ECEB5C6"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0.07</w:t>
            </w:r>
          </w:p>
        </w:tc>
        <w:tc>
          <w:tcPr>
            <w:tcW w:w="1154" w:type="dxa"/>
            <w:tcBorders>
              <w:top w:val="nil"/>
              <w:left w:val="nil"/>
              <w:bottom w:val="single" w:sz="4" w:space="0" w:color="auto"/>
              <w:right w:val="nil"/>
            </w:tcBorders>
            <w:shd w:val="clear" w:color="auto" w:fill="auto"/>
            <w:noWrap/>
            <w:vAlign w:val="bottom"/>
            <w:hideMark/>
          </w:tcPr>
          <w:p w14:paraId="00EF1A3B" w14:textId="6EF08D6B"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-0.22**</w:t>
            </w:r>
          </w:p>
        </w:tc>
        <w:tc>
          <w:tcPr>
            <w:tcW w:w="690" w:type="dxa"/>
            <w:tcBorders>
              <w:top w:val="nil"/>
              <w:left w:val="nil"/>
              <w:bottom w:val="single" w:sz="4" w:space="0" w:color="auto"/>
              <w:right w:val="nil"/>
            </w:tcBorders>
            <w:shd w:val="clear" w:color="auto" w:fill="auto"/>
            <w:noWrap/>
            <w:vAlign w:val="bottom"/>
            <w:hideMark/>
          </w:tcPr>
          <w:p w14:paraId="6FCDF9E9" w14:textId="25FE71B6"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0.07</w:t>
            </w:r>
          </w:p>
        </w:tc>
        <w:tc>
          <w:tcPr>
            <w:tcW w:w="1154" w:type="dxa"/>
            <w:tcBorders>
              <w:top w:val="nil"/>
              <w:left w:val="nil"/>
              <w:bottom w:val="single" w:sz="4" w:space="0" w:color="auto"/>
              <w:right w:val="nil"/>
            </w:tcBorders>
            <w:shd w:val="clear" w:color="auto" w:fill="auto"/>
            <w:noWrap/>
            <w:vAlign w:val="bottom"/>
            <w:hideMark/>
          </w:tcPr>
          <w:p w14:paraId="4BF94D7D" w14:textId="7E1DBA8D"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-0.21*</w:t>
            </w:r>
          </w:p>
        </w:tc>
        <w:tc>
          <w:tcPr>
            <w:tcW w:w="607" w:type="dxa"/>
            <w:tcBorders>
              <w:top w:val="nil"/>
              <w:left w:val="nil"/>
              <w:bottom w:val="single" w:sz="4" w:space="0" w:color="auto"/>
              <w:right w:val="nil"/>
            </w:tcBorders>
            <w:shd w:val="clear" w:color="auto" w:fill="auto"/>
            <w:noWrap/>
            <w:vAlign w:val="bottom"/>
            <w:hideMark/>
          </w:tcPr>
          <w:p w14:paraId="361EA4BB" w14:textId="4299CACC"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0.09</w:t>
            </w:r>
          </w:p>
        </w:tc>
        <w:tc>
          <w:tcPr>
            <w:tcW w:w="1154" w:type="dxa"/>
            <w:tcBorders>
              <w:top w:val="nil"/>
              <w:left w:val="nil"/>
              <w:bottom w:val="single" w:sz="4" w:space="0" w:color="auto"/>
              <w:right w:val="nil"/>
            </w:tcBorders>
            <w:shd w:val="clear" w:color="auto" w:fill="auto"/>
            <w:noWrap/>
            <w:vAlign w:val="bottom"/>
            <w:hideMark/>
          </w:tcPr>
          <w:p w14:paraId="50A25820" w14:textId="497FDF0C"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-0.21*</w:t>
            </w:r>
          </w:p>
        </w:tc>
        <w:tc>
          <w:tcPr>
            <w:tcW w:w="607" w:type="dxa"/>
            <w:tcBorders>
              <w:top w:val="nil"/>
              <w:left w:val="nil"/>
              <w:bottom w:val="single" w:sz="4" w:space="0" w:color="auto"/>
              <w:right w:val="nil"/>
            </w:tcBorders>
            <w:shd w:val="clear" w:color="auto" w:fill="auto"/>
            <w:noWrap/>
            <w:vAlign w:val="bottom"/>
            <w:hideMark/>
          </w:tcPr>
          <w:p w14:paraId="7F1B9452" w14:textId="1B1C4F4E" w:rsidR="00EE188B" w:rsidRPr="00EE188B" w:rsidRDefault="00EE188B" w:rsidP="00EE188B">
            <w:pPr>
              <w:spacing w:line="240" w:lineRule="auto"/>
              <w:jc w:val="center"/>
              <w:rPr>
                <w:rFonts w:eastAsia="Times New Roman" w:cs="Times New Roman"/>
                <w:color w:val="000000"/>
                <w:sz w:val="20"/>
                <w:szCs w:val="20"/>
                <w:lang w:eastAsia="ru-RU"/>
              </w:rPr>
            </w:pPr>
            <w:r w:rsidRPr="00EE188B">
              <w:rPr>
                <w:rFonts w:cs="Times New Roman"/>
                <w:color w:val="000000"/>
                <w:sz w:val="22"/>
              </w:rPr>
              <w:t>0.09</w:t>
            </w:r>
          </w:p>
        </w:tc>
      </w:tr>
      <w:tr w:rsidR="00650FF9" w:rsidRPr="00B05311" w14:paraId="7AB6A156" w14:textId="77777777" w:rsidTr="008C3144">
        <w:trPr>
          <w:trHeight w:val="431"/>
        </w:trPr>
        <w:tc>
          <w:tcPr>
            <w:tcW w:w="2115" w:type="dxa"/>
            <w:tcBorders>
              <w:top w:val="nil"/>
              <w:left w:val="nil"/>
              <w:bottom w:val="single" w:sz="4" w:space="0" w:color="auto"/>
              <w:right w:val="nil"/>
            </w:tcBorders>
            <w:shd w:val="clear" w:color="auto" w:fill="auto"/>
            <w:noWrap/>
            <w:vAlign w:val="bottom"/>
          </w:tcPr>
          <w:p w14:paraId="35DA0A98" w14:textId="34D802CB" w:rsidR="00650FF9" w:rsidRDefault="00650FF9" w:rsidP="005A49EE">
            <w:pPr>
              <w:spacing w:line="240" w:lineRule="auto"/>
              <w:jc w:val="left"/>
              <w:rPr>
                <w:rFonts w:eastAsia="Times New Roman" w:cs="Times New Roman"/>
                <w:color w:val="000000"/>
                <w:szCs w:val="24"/>
                <w:lang w:val="en-US" w:eastAsia="ru-RU"/>
              </w:rPr>
            </w:pPr>
            <w:r>
              <w:rPr>
                <w:rFonts w:eastAsia="Times New Roman" w:cs="Times New Roman"/>
                <w:color w:val="000000"/>
                <w:szCs w:val="24"/>
                <w:lang w:val="en-US" w:eastAsia="ru-RU"/>
              </w:rPr>
              <w:t>Case-control ratio</w:t>
            </w:r>
          </w:p>
        </w:tc>
        <w:tc>
          <w:tcPr>
            <w:tcW w:w="1767" w:type="dxa"/>
            <w:gridSpan w:val="2"/>
            <w:tcBorders>
              <w:top w:val="nil"/>
              <w:left w:val="nil"/>
              <w:bottom w:val="single" w:sz="4" w:space="0" w:color="auto"/>
              <w:right w:val="nil"/>
            </w:tcBorders>
            <w:shd w:val="clear" w:color="auto" w:fill="auto"/>
            <w:noWrap/>
            <w:vAlign w:val="bottom"/>
          </w:tcPr>
          <w:p w14:paraId="789CE691" w14:textId="05F8528A" w:rsidR="00650FF9" w:rsidRPr="005443CF" w:rsidRDefault="00650FF9" w:rsidP="005A49EE">
            <w:pPr>
              <w:spacing w:line="240" w:lineRule="auto"/>
              <w:jc w:val="center"/>
              <w:rPr>
                <w:rFonts w:cs="Times New Roman"/>
                <w:color w:val="000000"/>
                <w:sz w:val="22"/>
                <w:lang w:val="en-US"/>
              </w:rPr>
            </w:pPr>
            <w:r w:rsidRPr="005443CF">
              <w:rPr>
                <w:rFonts w:cs="Times New Roman"/>
                <w:color w:val="000000"/>
                <w:sz w:val="22"/>
                <w:lang w:val="en-US"/>
              </w:rPr>
              <w:t>1:2</w:t>
            </w:r>
          </w:p>
        </w:tc>
        <w:tc>
          <w:tcPr>
            <w:tcW w:w="1844" w:type="dxa"/>
            <w:gridSpan w:val="2"/>
            <w:tcBorders>
              <w:top w:val="nil"/>
              <w:left w:val="nil"/>
              <w:bottom w:val="single" w:sz="4" w:space="0" w:color="auto"/>
              <w:right w:val="nil"/>
            </w:tcBorders>
            <w:shd w:val="clear" w:color="auto" w:fill="auto"/>
            <w:noWrap/>
            <w:vAlign w:val="bottom"/>
          </w:tcPr>
          <w:p w14:paraId="3FAC0567" w14:textId="6972E172" w:rsidR="00650FF9" w:rsidRPr="005443CF" w:rsidRDefault="00650FF9" w:rsidP="005A49EE">
            <w:pPr>
              <w:spacing w:line="240" w:lineRule="auto"/>
              <w:jc w:val="center"/>
              <w:rPr>
                <w:rFonts w:cs="Times New Roman"/>
                <w:color w:val="000000"/>
                <w:sz w:val="22"/>
                <w:lang w:val="en-US"/>
              </w:rPr>
            </w:pPr>
            <w:r w:rsidRPr="005443CF">
              <w:rPr>
                <w:rFonts w:cs="Times New Roman"/>
                <w:color w:val="000000"/>
                <w:sz w:val="22"/>
                <w:lang w:val="en-US"/>
              </w:rPr>
              <w:t>1:2</w:t>
            </w:r>
          </w:p>
        </w:tc>
        <w:tc>
          <w:tcPr>
            <w:tcW w:w="1761" w:type="dxa"/>
            <w:gridSpan w:val="2"/>
            <w:tcBorders>
              <w:top w:val="nil"/>
              <w:left w:val="nil"/>
              <w:bottom w:val="single" w:sz="4" w:space="0" w:color="auto"/>
              <w:right w:val="nil"/>
            </w:tcBorders>
            <w:shd w:val="clear" w:color="auto" w:fill="auto"/>
            <w:noWrap/>
            <w:vAlign w:val="bottom"/>
          </w:tcPr>
          <w:p w14:paraId="5E4D9AA8" w14:textId="161C12A7" w:rsidR="00650FF9" w:rsidRPr="005443CF" w:rsidRDefault="00650FF9" w:rsidP="005A49EE">
            <w:pPr>
              <w:spacing w:line="240" w:lineRule="auto"/>
              <w:jc w:val="center"/>
              <w:rPr>
                <w:rFonts w:eastAsia="Times New Roman" w:cs="Times New Roman"/>
                <w:color w:val="000000"/>
                <w:sz w:val="22"/>
                <w:lang w:val="en-US" w:eastAsia="ru-RU"/>
              </w:rPr>
            </w:pPr>
            <w:r w:rsidRPr="005443CF">
              <w:rPr>
                <w:rFonts w:eastAsia="Times New Roman" w:cs="Times New Roman"/>
                <w:color w:val="000000"/>
                <w:sz w:val="22"/>
                <w:lang w:val="en-US" w:eastAsia="ru-RU"/>
              </w:rPr>
              <w:t>1:</w:t>
            </w:r>
            <w:r w:rsidR="005443CF" w:rsidRPr="005443CF">
              <w:rPr>
                <w:rFonts w:eastAsia="Times New Roman" w:cs="Times New Roman"/>
                <w:color w:val="000000"/>
                <w:sz w:val="22"/>
                <w:lang w:val="en-US" w:eastAsia="ru-RU"/>
              </w:rPr>
              <w:t>4</w:t>
            </w:r>
          </w:p>
        </w:tc>
        <w:tc>
          <w:tcPr>
            <w:tcW w:w="1761" w:type="dxa"/>
            <w:gridSpan w:val="2"/>
            <w:tcBorders>
              <w:top w:val="nil"/>
              <w:left w:val="nil"/>
              <w:bottom w:val="single" w:sz="4" w:space="0" w:color="auto"/>
              <w:right w:val="nil"/>
            </w:tcBorders>
            <w:shd w:val="clear" w:color="auto" w:fill="auto"/>
            <w:noWrap/>
            <w:vAlign w:val="bottom"/>
          </w:tcPr>
          <w:p w14:paraId="5CFD4115" w14:textId="187CE5AA" w:rsidR="00650FF9" w:rsidRPr="005443CF" w:rsidRDefault="00650FF9" w:rsidP="005A49EE">
            <w:pPr>
              <w:spacing w:line="240" w:lineRule="auto"/>
              <w:jc w:val="center"/>
              <w:rPr>
                <w:rFonts w:eastAsia="Times New Roman" w:cs="Times New Roman"/>
                <w:color w:val="000000"/>
                <w:sz w:val="22"/>
                <w:lang w:val="en-US" w:eastAsia="ru-RU"/>
              </w:rPr>
            </w:pPr>
            <w:r w:rsidRPr="005443CF">
              <w:rPr>
                <w:rFonts w:eastAsia="Times New Roman" w:cs="Times New Roman"/>
                <w:color w:val="000000"/>
                <w:sz w:val="22"/>
                <w:lang w:val="en-US" w:eastAsia="ru-RU"/>
              </w:rPr>
              <w:t>1:</w:t>
            </w:r>
            <w:r w:rsidR="005443CF" w:rsidRPr="005443CF">
              <w:rPr>
                <w:rFonts w:eastAsia="Times New Roman" w:cs="Times New Roman"/>
                <w:color w:val="000000"/>
                <w:sz w:val="22"/>
                <w:lang w:val="en-US" w:eastAsia="ru-RU"/>
              </w:rPr>
              <w:t>4</w:t>
            </w:r>
          </w:p>
        </w:tc>
      </w:tr>
      <w:tr w:rsidR="00FB60AF" w:rsidRPr="005443CF" w14:paraId="2F730E30" w14:textId="77777777" w:rsidTr="007C696D">
        <w:trPr>
          <w:trHeight w:val="431"/>
        </w:trPr>
        <w:tc>
          <w:tcPr>
            <w:tcW w:w="9248" w:type="dxa"/>
            <w:gridSpan w:val="9"/>
            <w:tcBorders>
              <w:top w:val="single" w:sz="4" w:space="0" w:color="auto"/>
              <w:left w:val="nil"/>
              <w:right w:val="nil"/>
            </w:tcBorders>
            <w:shd w:val="clear" w:color="auto" w:fill="auto"/>
            <w:noWrap/>
            <w:vAlign w:val="bottom"/>
          </w:tcPr>
          <w:p w14:paraId="46FE93A5" w14:textId="509FC096" w:rsidR="00FB60AF" w:rsidRPr="00B05311" w:rsidRDefault="00FB60AF" w:rsidP="00EE188B">
            <w:pPr>
              <w:spacing w:after="0" w:line="240" w:lineRule="auto"/>
              <w:rPr>
                <w:rFonts w:eastAsia="Times New Roman" w:cs="Times New Roman"/>
                <w:color w:val="000000"/>
                <w:szCs w:val="24"/>
                <w:lang w:val="en-US" w:eastAsia="ru-RU"/>
              </w:rPr>
            </w:pPr>
            <w:r w:rsidRPr="00B05311">
              <w:rPr>
                <w:rFonts w:eastAsia="Times New Roman" w:cs="Times New Roman"/>
                <w:color w:val="000000"/>
                <w:szCs w:val="24"/>
                <w:lang w:val="en-US" w:eastAsia="ru-RU"/>
              </w:rPr>
              <w:t xml:space="preserve">Note: </w:t>
            </w:r>
            <w:r w:rsidRPr="00B05311">
              <w:rPr>
                <w:rFonts w:eastAsia="Helvetica" w:cs="Times New Roman"/>
                <w:color w:val="000000"/>
                <w:szCs w:val="24"/>
                <w:lang w:val="en-US"/>
              </w:rPr>
              <w:t>***p&lt;0.001, **p&lt;0.01, *p&lt;0.05; predictors are at t-1; standard errors</w:t>
            </w:r>
            <w:r w:rsidR="00650FF9">
              <w:rPr>
                <w:rFonts w:eastAsia="Helvetica" w:cs="Times New Roman"/>
                <w:color w:val="000000"/>
                <w:szCs w:val="24"/>
                <w:lang w:val="en-US"/>
              </w:rPr>
              <w:t xml:space="preserve"> are heteroscedasticity-consistent</w:t>
            </w:r>
            <w:r w:rsidRPr="00B05311">
              <w:rPr>
                <w:rFonts w:eastAsia="Helvetica" w:cs="Times New Roman"/>
                <w:color w:val="000000"/>
                <w:szCs w:val="24"/>
                <w:lang w:val="en-US"/>
              </w:rPr>
              <w:t>; all models</w:t>
            </w:r>
            <w:r>
              <w:rPr>
                <w:rFonts w:eastAsia="Helvetica" w:cs="Times New Roman"/>
                <w:color w:val="000000"/>
                <w:szCs w:val="24"/>
                <w:lang w:val="en-US"/>
              </w:rPr>
              <w:t xml:space="preserve"> are</w:t>
            </w:r>
            <w:r w:rsidRPr="00B05311">
              <w:rPr>
                <w:rFonts w:eastAsia="Helvetica" w:cs="Times New Roman"/>
                <w:color w:val="000000"/>
                <w:szCs w:val="24"/>
                <w:lang w:val="en-US"/>
              </w:rPr>
              <w:t xml:space="preserve"> estimate</w:t>
            </w:r>
            <w:r>
              <w:rPr>
                <w:rFonts w:eastAsia="Helvetica" w:cs="Times New Roman"/>
                <w:color w:val="000000"/>
                <w:szCs w:val="24"/>
                <w:lang w:val="en-US"/>
              </w:rPr>
              <w:t>d</w:t>
            </w:r>
            <w:r w:rsidRPr="00B05311">
              <w:rPr>
                <w:rFonts w:eastAsia="Helvetica" w:cs="Times New Roman"/>
                <w:color w:val="000000"/>
                <w:szCs w:val="24"/>
                <w:lang w:val="en-US"/>
              </w:rPr>
              <w:t xml:space="preserve"> on 50 imputed models</w:t>
            </w:r>
            <w:r w:rsidR="00650FF9">
              <w:rPr>
                <w:rFonts w:eastAsia="Helvetica" w:cs="Times New Roman"/>
                <w:color w:val="000000"/>
                <w:szCs w:val="24"/>
                <w:lang w:val="en-US"/>
              </w:rPr>
              <w:t xml:space="preserve">. </w:t>
            </w:r>
          </w:p>
        </w:tc>
      </w:tr>
    </w:tbl>
    <w:p w14:paraId="156C9E54" w14:textId="77777777" w:rsidR="00501BC9" w:rsidRDefault="00501BC9" w:rsidP="00F158E3">
      <w:pPr>
        <w:rPr>
          <w:rFonts w:eastAsiaTheme="minorEastAsia"/>
          <w:lang w:val="en-US"/>
        </w:rPr>
      </w:pPr>
    </w:p>
    <w:p w14:paraId="0386A2E0" w14:textId="4DFD9C93" w:rsidR="00D73A1B" w:rsidRPr="00435EEB" w:rsidRDefault="00D73A1B" w:rsidP="00F158E3">
      <w:pPr>
        <w:rPr>
          <w:lang w:val="en-US"/>
        </w:rPr>
      </w:pPr>
      <w:r>
        <w:rPr>
          <w:rFonts w:eastAsiaTheme="minorEastAsia"/>
          <w:lang w:val="en-US"/>
        </w:rPr>
        <w:t>In the Figures 1 and 2 marginal effect of GDP per capita across its values and adjusted predictions of unarmed revolutions conditional on GDP per capita are presented respectively</w:t>
      </w:r>
      <w:r w:rsidR="009216AB">
        <w:rPr>
          <w:rFonts w:eastAsiaTheme="minorEastAsia"/>
          <w:lang w:val="en-US"/>
        </w:rPr>
        <w:t xml:space="preserve"> for models with NAVCO 1.3 as dependent variable</w:t>
      </w:r>
      <w:r>
        <w:rPr>
          <w:rFonts w:eastAsiaTheme="minorEastAsia"/>
          <w:lang w:val="en-US"/>
        </w:rPr>
        <w:t xml:space="preserve">. </w:t>
      </w:r>
      <w:r w:rsidRPr="00BE69F9">
        <w:rPr>
          <w:lang w:val="en-US"/>
        </w:rPr>
        <w:t xml:space="preserve">It becomes evident that there is a significant inverted "U"-shaped relationship between income level and the probability of an unarmed revolution occurring. Initially, the probability of an unarmed revolution increases with income level, reaching a peak at a certain point in GDP per capita. Subsequently, the probability declines as income level continues to increase, reaching a negative significant effect. Moreover, this outcome is </w:t>
      </w:r>
      <w:r>
        <w:rPr>
          <w:lang w:val="en-US"/>
        </w:rPr>
        <w:t xml:space="preserve">fully </w:t>
      </w:r>
      <w:r w:rsidRPr="00BE69F9">
        <w:rPr>
          <w:lang w:val="en-US"/>
        </w:rPr>
        <w:t xml:space="preserve">replicated for two </w:t>
      </w:r>
      <w:r>
        <w:rPr>
          <w:lang w:val="en-US"/>
        </w:rPr>
        <w:t>matching procedure</w:t>
      </w:r>
      <w:r w:rsidR="00001D78">
        <w:rPr>
          <w:lang w:val="en-US"/>
        </w:rPr>
        <w:t>s</w:t>
      </w:r>
      <w:r w:rsidR="00E96264">
        <w:rPr>
          <w:lang w:val="en-US"/>
        </w:rPr>
        <w:t xml:space="preserve"> </w:t>
      </w:r>
      <w:r w:rsidRPr="00D73A1B">
        <w:rPr>
          <w:lang w:val="en-US"/>
        </w:rPr>
        <w:t xml:space="preserve">the results for which are indistinguishable, indicating the </w:t>
      </w:r>
      <w:r w:rsidR="00E96264">
        <w:rPr>
          <w:lang w:val="en-US"/>
        </w:rPr>
        <w:t>robustness of the estimates</w:t>
      </w:r>
      <w:r w:rsidRPr="00BE69F9">
        <w:rPr>
          <w:lang w:val="en-US"/>
        </w:rPr>
        <w:t xml:space="preserve">. </w:t>
      </w:r>
    </w:p>
    <w:p w14:paraId="17AD000C" w14:textId="49EC4DBD" w:rsidR="002B7432" w:rsidRDefault="00922BBC" w:rsidP="00501BC9">
      <w:pPr>
        <w:spacing w:after="0" w:line="240" w:lineRule="auto"/>
        <w:rPr>
          <w:rFonts w:eastAsiaTheme="minorEastAsia"/>
          <w:lang w:val="en-US"/>
        </w:rPr>
      </w:pPr>
      <w:r>
        <w:rPr>
          <w:rFonts w:eastAsiaTheme="minorEastAsia"/>
          <w:noProof/>
          <w:lang w:val="en-US"/>
        </w:rPr>
        <w:lastRenderedPageBreak/>
        <w:drawing>
          <wp:inline distT="0" distB="0" distL="0" distR="0" wp14:anchorId="096F1A6A" wp14:editId="628FF7B6">
            <wp:extent cx="5940424" cy="2970212"/>
            <wp:effectExtent l="0" t="0" r="3810" b="1905"/>
            <wp:docPr id="136673319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33199"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281D5644" w14:textId="17C47402" w:rsidR="009216AB" w:rsidRDefault="009216AB" w:rsidP="00501BC9">
      <w:pPr>
        <w:spacing w:line="240" w:lineRule="auto"/>
        <w:rPr>
          <w:rFonts w:eastAsiaTheme="minorEastAsia"/>
          <w:lang w:val="en-US"/>
        </w:rPr>
      </w:pPr>
      <w:r>
        <w:rPr>
          <w:lang w:val="en-US"/>
        </w:rPr>
        <w:t xml:space="preserve">Figure 1. Marginal effect of GDP per capita conditional on its values with NAVCO 1.3 as dependent variable. Note: 95% CI is plotted.   </w:t>
      </w:r>
    </w:p>
    <w:p w14:paraId="1B7FD2C3" w14:textId="77777777" w:rsidR="00501BC9" w:rsidRDefault="00501BC9" w:rsidP="00F158E3">
      <w:pPr>
        <w:rPr>
          <w:rFonts w:eastAsiaTheme="minorEastAsia"/>
          <w:lang w:val="en-US"/>
        </w:rPr>
      </w:pPr>
    </w:p>
    <w:p w14:paraId="2E8C0F09" w14:textId="4EB8F1B4" w:rsidR="00922BBC" w:rsidRDefault="00922BBC" w:rsidP="00501BC9">
      <w:pPr>
        <w:spacing w:after="0" w:line="240" w:lineRule="auto"/>
        <w:rPr>
          <w:rFonts w:eastAsiaTheme="minorEastAsia"/>
          <w:lang w:val="en-US"/>
        </w:rPr>
      </w:pPr>
      <w:r>
        <w:rPr>
          <w:rFonts w:eastAsiaTheme="minorEastAsia"/>
          <w:noProof/>
          <w:lang w:val="en-US"/>
        </w:rPr>
        <w:drawing>
          <wp:inline distT="0" distB="0" distL="0" distR="0" wp14:anchorId="1E849BC2" wp14:editId="1B032430">
            <wp:extent cx="5940424" cy="2970212"/>
            <wp:effectExtent l="0" t="0" r="3810" b="1905"/>
            <wp:docPr id="97134854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48548" name="Рисунок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7DF8D483" w14:textId="77777777" w:rsidR="00501BC9" w:rsidRDefault="00FB60AF" w:rsidP="00501BC9">
      <w:pPr>
        <w:spacing w:line="240" w:lineRule="auto"/>
        <w:rPr>
          <w:lang w:val="en-US"/>
        </w:rPr>
      </w:pPr>
      <w:r>
        <w:rPr>
          <w:rFonts w:eastAsiaTheme="minorEastAsia"/>
          <w:lang w:val="en-US"/>
        </w:rPr>
        <w:t xml:space="preserve">Figure 2. </w:t>
      </w:r>
      <w:r w:rsidR="009216AB">
        <w:rPr>
          <w:lang w:val="en-US"/>
        </w:rPr>
        <w:t xml:space="preserve">Adjusted predictions of probability of unarmed conditional on GDP per capita with NAVCO 1.3 as dependent variable. Note: 95% CI is plotted.  </w:t>
      </w:r>
    </w:p>
    <w:p w14:paraId="42C01559" w14:textId="6000137F" w:rsidR="009216AB" w:rsidRDefault="009216AB" w:rsidP="00501BC9">
      <w:pPr>
        <w:spacing w:line="240" w:lineRule="auto"/>
        <w:rPr>
          <w:rFonts w:eastAsiaTheme="minorEastAsia"/>
          <w:lang w:val="en-US"/>
        </w:rPr>
      </w:pPr>
      <w:r>
        <w:rPr>
          <w:lang w:val="en-US"/>
        </w:rPr>
        <w:t xml:space="preserve"> </w:t>
      </w:r>
    </w:p>
    <w:p w14:paraId="15DE5C2B" w14:textId="50ADFEF3" w:rsidR="009216AB" w:rsidRDefault="009216AB" w:rsidP="009216AB">
      <w:pPr>
        <w:rPr>
          <w:lang w:val="en-US"/>
        </w:rPr>
      </w:pPr>
      <w:r>
        <w:rPr>
          <w:rFonts w:eastAsiaTheme="minorEastAsia"/>
          <w:lang w:val="en-US"/>
        </w:rPr>
        <w:t>In the Figures 3 and 4 marginal effect of GDP per capita across its values and adjusted predictions of unarmed revolutions conditional on GDP per capita are presented respectively</w:t>
      </w:r>
      <w:r w:rsidRPr="009216AB">
        <w:rPr>
          <w:rFonts w:eastAsiaTheme="minorEastAsia"/>
          <w:lang w:val="en-US"/>
        </w:rPr>
        <w:t xml:space="preserve"> </w:t>
      </w:r>
      <w:r>
        <w:rPr>
          <w:rFonts w:eastAsiaTheme="minorEastAsia"/>
          <w:lang w:val="en-US"/>
        </w:rPr>
        <w:t xml:space="preserve">for models with Beissinger’s extended data as dependent variable. </w:t>
      </w:r>
      <w:r w:rsidRPr="00BE69F9">
        <w:rPr>
          <w:lang w:val="en-US"/>
        </w:rPr>
        <w:t>It becomes evident that there is a significant inverted "U"-shaped relationship between income level and the probability of an unarmed revolution occurring</w:t>
      </w:r>
      <w:r>
        <w:rPr>
          <w:lang w:val="en-US"/>
        </w:rPr>
        <w:t xml:space="preserve"> that replicates the results with NAVCO 1.3 described above. </w:t>
      </w:r>
    </w:p>
    <w:p w14:paraId="55C99483" w14:textId="4790C849" w:rsidR="00922BBC" w:rsidRDefault="00922BBC" w:rsidP="00501BC9">
      <w:pPr>
        <w:spacing w:after="0" w:line="240" w:lineRule="auto"/>
        <w:rPr>
          <w:rFonts w:eastAsiaTheme="minorEastAsia"/>
        </w:rPr>
      </w:pPr>
      <w:r>
        <w:rPr>
          <w:rFonts w:eastAsiaTheme="minorEastAsia"/>
          <w:noProof/>
          <w:lang w:val="en-US"/>
        </w:rPr>
        <w:lastRenderedPageBreak/>
        <w:drawing>
          <wp:inline distT="0" distB="0" distL="0" distR="0" wp14:anchorId="18607FD9" wp14:editId="3A77A509">
            <wp:extent cx="5940424" cy="2970212"/>
            <wp:effectExtent l="0" t="0" r="3810" b="1905"/>
            <wp:docPr id="14039164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16401" name="Рисунок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445DDA92" w14:textId="2F114FB9" w:rsidR="00922BBC" w:rsidRDefault="00FB60AF" w:rsidP="00501BC9">
      <w:pPr>
        <w:spacing w:line="240" w:lineRule="auto"/>
        <w:rPr>
          <w:lang w:val="en-US"/>
        </w:rPr>
      </w:pPr>
      <w:r>
        <w:rPr>
          <w:rFonts w:eastAsiaTheme="minorEastAsia"/>
          <w:lang w:val="en-US"/>
        </w:rPr>
        <w:t xml:space="preserve">Figure 3. </w:t>
      </w:r>
      <w:r w:rsidR="009216AB">
        <w:rPr>
          <w:lang w:val="en-US"/>
        </w:rPr>
        <w:t xml:space="preserve">Marginal effect of GDP per capita conditional on its values with </w:t>
      </w:r>
      <w:r w:rsidR="009216AB">
        <w:rPr>
          <w:rFonts w:eastAsiaTheme="minorEastAsia"/>
          <w:lang w:val="en-US"/>
        </w:rPr>
        <w:t xml:space="preserve">Beissinger’s extended data </w:t>
      </w:r>
      <w:r w:rsidR="009216AB">
        <w:rPr>
          <w:lang w:val="en-US"/>
        </w:rPr>
        <w:t xml:space="preserve">as dependent variable. Note: 95% CI is plotted.   </w:t>
      </w:r>
    </w:p>
    <w:p w14:paraId="1A4E87A1" w14:textId="77777777" w:rsidR="00501BC9" w:rsidRPr="009216AB" w:rsidRDefault="00501BC9" w:rsidP="00501BC9">
      <w:pPr>
        <w:spacing w:line="240" w:lineRule="auto"/>
        <w:rPr>
          <w:rFonts w:eastAsiaTheme="minorEastAsia"/>
          <w:lang w:val="en-US"/>
        </w:rPr>
      </w:pPr>
    </w:p>
    <w:p w14:paraId="3A07BC8F" w14:textId="566572F1" w:rsidR="00922BBC" w:rsidRDefault="00922BBC" w:rsidP="00501BC9">
      <w:pPr>
        <w:spacing w:after="0" w:line="240" w:lineRule="auto"/>
        <w:rPr>
          <w:rFonts w:eastAsiaTheme="minorEastAsia"/>
          <w:lang w:val="en-US"/>
        </w:rPr>
      </w:pPr>
      <w:r>
        <w:rPr>
          <w:rFonts w:eastAsiaTheme="minorEastAsia"/>
          <w:noProof/>
          <w:lang w:val="en-US"/>
        </w:rPr>
        <w:drawing>
          <wp:inline distT="0" distB="0" distL="0" distR="0" wp14:anchorId="0CF77B9E" wp14:editId="2B96278A">
            <wp:extent cx="5940424" cy="2970212"/>
            <wp:effectExtent l="0" t="0" r="3810" b="1905"/>
            <wp:docPr id="129790560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05600" name="Рисунок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4" cy="2970212"/>
                    </a:xfrm>
                    <a:prstGeom prst="rect">
                      <a:avLst/>
                    </a:prstGeom>
                  </pic:spPr>
                </pic:pic>
              </a:graphicData>
            </a:graphic>
          </wp:inline>
        </w:drawing>
      </w:r>
    </w:p>
    <w:p w14:paraId="69FD67BD" w14:textId="22F19926" w:rsidR="00FB60AF" w:rsidRPr="00B53D8E" w:rsidRDefault="00FB60AF" w:rsidP="00501BC9">
      <w:pPr>
        <w:spacing w:line="240" w:lineRule="auto"/>
        <w:rPr>
          <w:rFonts w:eastAsiaTheme="minorEastAsia"/>
          <w:lang w:val="en-US"/>
        </w:rPr>
      </w:pPr>
      <w:r>
        <w:rPr>
          <w:rFonts w:eastAsiaTheme="minorEastAsia"/>
          <w:lang w:val="en-US"/>
        </w:rPr>
        <w:t xml:space="preserve">Figure 4. </w:t>
      </w:r>
      <w:r w:rsidR="009216AB">
        <w:rPr>
          <w:lang w:val="en-US"/>
        </w:rPr>
        <w:t xml:space="preserve">Adjusted predictions of probability of unarmed conditional on GDP per capita with </w:t>
      </w:r>
      <w:r w:rsidR="009216AB">
        <w:rPr>
          <w:rFonts w:eastAsiaTheme="minorEastAsia"/>
          <w:lang w:val="en-US"/>
        </w:rPr>
        <w:t xml:space="preserve">Beissinger’s extended data </w:t>
      </w:r>
      <w:r w:rsidR="009216AB">
        <w:rPr>
          <w:lang w:val="en-US"/>
        </w:rPr>
        <w:t xml:space="preserve">as dependent variable. Note: 95% CI is plotted.   </w:t>
      </w:r>
    </w:p>
    <w:p w14:paraId="40C32854" w14:textId="6351E21A" w:rsidR="00B56094" w:rsidRDefault="00481BB8" w:rsidP="002A6EE8">
      <w:pPr>
        <w:pStyle w:val="1"/>
        <w:rPr>
          <w:lang w:val="en-US"/>
        </w:rPr>
      </w:pPr>
      <w:r>
        <w:rPr>
          <w:lang w:val="en-US"/>
        </w:rPr>
        <w:t>References</w:t>
      </w:r>
    </w:p>
    <w:p w14:paraId="021D56ED" w14:textId="77777777" w:rsidR="003915B5" w:rsidRPr="003915B5" w:rsidRDefault="00C745C8" w:rsidP="003915B5">
      <w:pPr>
        <w:widowControl w:val="0"/>
        <w:autoSpaceDE w:val="0"/>
        <w:autoSpaceDN w:val="0"/>
        <w:adjustRightInd w:val="0"/>
        <w:rPr>
          <w:rFonts w:cs="Times New Roman"/>
          <w:lang w:val="en-US"/>
        </w:rPr>
      </w:pPr>
      <w:r>
        <w:rPr>
          <w:lang w:val="en-US"/>
        </w:rPr>
        <w:fldChar w:fldCharType="begin"/>
      </w:r>
      <w:r w:rsidR="003915B5">
        <w:rPr>
          <w:lang w:val="en-US"/>
        </w:rPr>
        <w:instrText xml:space="preserve"> ADDIN ZOTERO_BIBL {"uncited":[],"omitted":[],"custom":[]} CSL_BIBLIOGRAPHY </w:instrText>
      </w:r>
      <w:r>
        <w:rPr>
          <w:lang w:val="en-US"/>
        </w:rPr>
        <w:fldChar w:fldCharType="separate"/>
      </w:r>
      <w:r w:rsidR="003915B5" w:rsidRPr="003915B5">
        <w:rPr>
          <w:rFonts w:cs="Times New Roman"/>
          <w:lang w:val="en-US"/>
        </w:rPr>
        <w:t xml:space="preserve">Ho, Daniel E., Kosuke Imai, Gary King, and Elizabeth A. Stuart. </w:t>
      </w:r>
      <w:r w:rsidR="003915B5" w:rsidRPr="003A1277">
        <w:rPr>
          <w:rFonts w:cs="Times New Roman"/>
          <w:lang w:val="en-US"/>
        </w:rPr>
        <w:t xml:space="preserve">2011. “MatchIt: Nonparametric Preprocessing for Parametric Causal Inference.” </w:t>
      </w:r>
      <w:r w:rsidR="003915B5" w:rsidRPr="003915B5">
        <w:rPr>
          <w:rFonts w:cs="Times New Roman"/>
          <w:i/>
          <w:iCs/>
          <w:lang w:val="en-US"/>
        </w:rPr>
        <w:t>Journal of Statistical Software</w:t>
      </w:r>
      <w:r w:rsidR="003915B5" w:rsidRPr="003915B5">
        <w:rPr>
          <w:rFonts w:cs="Times New Roman"/>
          <w:lang w:val="en-US"/>
        </w:rPr>
        <w:t xml:space="preserve"> 42(8). doi:10.18637/jss.v042.i08.</w:t>
      </w:r>
    </w:p>
    <w:p w14:paraId="3A9C8396" w14:textId="77777777" w:rsidR="003915B5" w:rsidRPr="003915B5" w:rsidRDefault="003915B5" w:rsidP="003915B5">
      <w:pPr>
        <w:widowControl w:val="0"/>
        <w:autoSpaceDE w:val="0"/>
        <w:autoSpaceDN w:val="0"/>
        <w:adjustRightInd w:val="0"/>
        <w:rPr>
          <w:rFonts w:cs="Times New Roman"/>
          <w:lang w:val="en-US"/>
        </w:rPr>
      </w:pPr>
      <w:r w:rsidRPr="003915B5">
        <w:rPr>
          <w:rFonts w:cs="Times New Roman"/>
          <w:lang w:val="en-US"/>
        </w:rPr>
        <w:t xml:space="preserve">King, Gary, James Honaker, Anne Joseph, and Kenneth Scheve. 2001. “Analyzing Incomplete Political Science Data: An Alternative Algorithm for Multiple Imputation.” </w:t>
      </w:r>
      <w:r w:rsidRPr="003915B5">
        <w:rPr>
          <w:rFonts w:cs="Times New Roman"/>
          <w:i/>
          <w:iCs/>
          <w:lang w:val="en-US"/>
        </w:rPr>
        <w:t xml:space="preserve">American Political </w:t>
      </w:r>
      <w:r w:rsidRPr="003915B5">
        <w:rPr>
          <w:rFonts w:cs="Times New Roman"/>
          <w:i/>
          <w:iCs/>
          <w:lang w:val="en-US"/>
        </w:rPr>
        <w:lastRenderedPageBreak/>
        <w:t>Science Review</w:t>
      </w:r>
      <w:r w:rsidRPr="003915B5">
        <w:rPr>
          <w:rFonts w:cs="Times New Roman"/>
          <w:lang w:val="en-US"/>
        </w:rPr>
        <w:t xml:space="preserve"> 95(1): 49–69. doi:10.1017/S0003055401000235.</w:t>
      </w:r>
    </w:p>
    <w:p w14:paraId="2170E1E5" w14:textId="77777777" w:rsidR="003915B5" w:rsidRPr="003915B5" w:rsidRDefault="003915B5" w:rsidP="003915B5">
      <w:pPr>
        <w:widowControl w:val="0"/>
        <w:autoSpaceDE w:val="0"/>
        <w:autoSpaceDN w:val="0"/>
        <w:adjustRightInd w:val="0"/>
        <w:rPr>
          <w:rFonts w:cs="Times New Roman"/>
          <w:lang w:val="en-US"/>
        </w:rPr>
      </w:pPr>
      <w:r w:rsidRPr="003915B5">
        <w:rPr>
          <w:rFonts w:cs="Times New Roman"/>
          <w:lang w:val="en-US"/>
        </w:rPr>
        <w:t xml:space="preserve">King, Gary, and Richard Nielsen. 2019. “Why Propensity Scores Should Not Be Used for Matching.” </w:t>
      </w:r>
      <w:r w:rsidRPr="003915B5">
        <w:rPr>
          <w:rFonts w:cs="Times New Roman"/>
          <w:i/>
          <w:iCs/>
          <w:lang w:val="en-US"/>
        </w:rPr>
        <w:t>Political Analysis</w:t>
      </w:r>
      <w:r w:rsidRPr="003915B5">
        <w:rPr>
          <w:rFonts w:cs="Times New Roman"/>
          <w:lang w:val="en-US"/>
        </w:rPr>
        <w:t xml:space="preserve"> 27(4): 435–54. doi:10.1017/pan.2019.11.</w:t>
      </w:r>
    </w:p>
    <w:p w14:paraId="0296D4DA" w14:textId="77777777" w:rsidR="003915B5" w:rsidRPr="003915B5" w:rsidRDefault="003915B5" w:rsidP="003915B5">
      <w:pPr>
        <w:widowControl w:val="0"/>
        <w:autoSpaceDE w:val="0"/>
        <w:autoSpaceDN w:val="0"/>
        <w:adjustRightInd w:val="0"/>
        <w:rPr>
          <w:rFonts w:cs="Times New Roman"/>
          <w:lang w:val="en-US"/>
        </w:rPr>
      </w:pPr>
      <w:r w:rsidRPr="003915B5">
        <w:rPr>
          <w:rFonts w:cs="Times New Roman"/>
          <w:lang w:val="en-US"/>
        </w:rPr>
        <w:t xml:space="preserve">Leyrat, Clémence, Shaun R Seaman, Ian R White, Ian Douglas, Liam Smeeth, Joseph Kim, Matthieu Resche-Rigon, James R Carpenter, and Elizabeth J Williamson. 2019. “Propensity Score Analysis with Partially Observed Covariates: How Should Multiple Imputation Be Used?” </w:t>
      </w:r>
      <w:r w:rsidRPr="003915B5">
        <w:rPr>
          <w:rFonts w:cs="Times New Roman"/>
          <w:i/>
          <w:iCs/>
          <w:lang w:val="en-US"/>
        </w:rPr>
        <w:t>Statistical Methods in Medical Research</w:t>
      </w:r>
      <w:r w:rsidRPr="003915B5">
        <w:rPr>
          <w:rFonts w:cs="Times New Roman"/>
          <w:lang w:val="en-US"/>
        </w:rPr>
        <w:t xml:space="preserve"> 28(1): 3–19. doi:10.1177/0962280217713032.</w:t>
      </w:r>
    </w:p>
    <w:p w14:paraId="7DD8E714" w14:textId="1C7E0F11" w:rsidR="002A6EE8" w:rsidRPr="002A6EE8" w:rsidRDefault="00C745C8" w:rsidP="002A6EE8">
      <w:pPr>
        <w:rPr>
          <w:lang w:val="en-US"/>
        </w:rPr>
      </w:pPr>
      <w:r>
        <w:rPr>
          <w:lang w:val="en-US"/>
        </w:rPr>
        <w:fldChar w:fldCharType="end"/>
      </w:r>
    </w:p>
    <w:sectPr w:rsidR="002A6EE8" w:rsidRPr="002A6E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A824" w14:textId="77777777" w:rsidR="005B1199" w:rsidRDefault="005B1199" w:rsidP="003C5188">
      <w:pPr>
        <w:spacing w:after="0" w:line="240" w:lineRule="auto"/>
      </w:pPr>
      <w:r>
        <w:separator/>
      </w:r>
    </w:p>
  </w:endnote>
  <w:endnote w:type="continuationSeparator" w:id="0">
    <w:p w14:paraId="6F9A5D2D" w14:textId="77777777" w:rsidR="005B1199" w:rsidRDefault="005B1199" w:rsidP="003C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50B8" w14:textId="77777777" w:rsidR="005B1199" w:rsidRDefault="005B1199" w:rsidP="003C5188">
      <w:pPr>
        <w:spacing w:after="0" w:line="240" w:lineRule="auto"/>
      </w:pPr>
      <w:r>
        <w:separator/>
      </w:r>
    </w:p>
  </w:footnote>
  <w:footnote w:type="continuationSeparator" w:id="0">
    <w:p w14:paraId="3ECBBE1A" w14:textId="77777777" w:rsidR="005B1199" w:rsidRDefault="005B1199" w:rsidP="003C51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E1B9E"/>
    <w:multiLevelType w:val="hybridMultilevel"/>
    <w:tmpl w:val="FDECD7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A6A3CC0"/>
    <w:multiLevelType w:val="hybridMultilevel"/>
    <w:tmpl w:val="C7709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42844399">
    <w:abstractNumId w:val="0"/>
  </w:num>
  <w:num w:numId="2" w16cid:durableId="1628504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AA"/>
    <w:rsid w:val="00001D78"/>
    <w:rsid w:val="00024763"/>
    <w:rsid w:val="00027FC4"/>
    <w:rsid w:val="00046C10"/>
    <w:rsid w:val="00052C27"/>
    <w:rsid w:val="00053B65"/>
    <w:rsid w:val="00054BA8"/>
    <w:rsid w:val="00070C71"/>
    <w:rsid w:val="00070CED"/>
    <w:rsid w:val="00074AA5"/>
    <w:rsid w:val="00077FBF"/>
    <w:rsid w:val="000811CC"/>
    <w:rsid w:val="000A2259"/>
    <w:rsid w:val="000A2D3B"/>
    <w:rsid w:val="000A4240"/>
    <w:rsid w:val="000A53D1"/>
    <w:rsid w:val="000A72A2"/>
    <w:rsid w:val="000C0FCA"/>
    <w:rsid w:val="000C68FC"/>
    <w:rsid w:val="000D37F7"/>
    <w:rsid w:val="000E18FB"/>
    <w:rsid w:val="000E284B"/>
    <w:rsid w:val="000E362A"/>
    <w:rsid w:val="000F2FB5"/>
    <w:rsid w:val="00117F0E"/>
    <w:rsid w:val="00122E85"/>
    <w:rsid w:val="00133B04"/>
    <w:rsid w:val="00137F4A"/>
    <w:rsid w:val="00146ACE"/>
    <w:rsid w:val="001500E8"/>
    <w:rsid w:val="001512E6"/>
    <w:rsid w:val="00151651"/>
    <w:rsid w:val="00152CE3"/>
    <w:rsid w:val="00162058"/>
    <w:rsid w:val="0016302C"/>
    <w:rsid w:val="001916C7"/>
    <w:rsid w:val="0019269A"/>
    <w:rsid w:val="0019439D"/>
    <w:rsid w:val="001952E6"/>
    <w:rsid w:val="001B3BFC"/>
    <w:rsid w:val="001C3A08"/>
    <w:rsid w:val="001E2384"/>
    <w:rsid w:val="001E4003"/>
    <w:rsid w:val="00215529"/>
    <w:rsid w:val="002330BD"/>
    <w:rsid w:val="00235A50"/>
    <w:rsid w:val="002414E0"/>
    <w:rsid w:val="00247ADA"/>
    <w:rsid w:val="0026374F"/>
    <w:rsid w:val="00274E6D"/>
    <w:rsid w:val="00295C55"/>
    <w:rsid w:val="002966BF"/>
    <w:rsid w:val="002A664D"/>
    <w:rsid w:val="002A6EE8"/>
    <w:rsid w:val="002B0AF0"/>
    <w:rsid w:val="002B7432"/>
    <w:rsid w:val="002C4EB9"/>
    <w:rsid w:val="002C788D"/>
    <w:rsid w:val="002E0AAF"/>
    <w:rsid w:val="002F19DB"/>
    <w:rsid w:val="002F4000"/>
    <w:rsid w:val="00307C78"/>
    <w:rsid w:val="0032628F"/>
    <w:rsid w:val="0034614E"/>
    <w:rsid w:val="00347FD0"/>
    <w:rsid w:val="00362587"/>
    <w:rsid w:val="003833A6"/>
    <w:rsid w:val="003857B6"/>
    <w:rsid w:val="00385C78"/>
    <w:rsid w:val="003915B5"/>
    <w:rsid w:val="00392D5F"/>
    <w:rsid w:val="003A1277"/>
    <w:rsid w:val="003A50BF"/>
    <w:rsid w:val="003B2697"/>
    <w:rsid w:val="003C5188"/>
    <w:rsid w:val="003D5F15"/>
    <w:rsid w:val="003E16EA"/>
    <w:rsid w:val="003E24CF"/>
    <w:rsid w:val="003E2A48"/>
    <w:rsid w:val="003F12AD"/>
    <w:rsid w:val="00414006"/>
    <w:rsid w:val="0043249F"/>
    <w:rsid w:val="00432DDB"/>
    <w:rsid w:val="00433127"/>
    <w:rsid w:val="00435073"/>
    <w:rsid w:val="004351D7"/>
    <w:rsid w:val="00435EEB"/>
    <w:rsid w:val="004368F7"/>
    <w:rsid w:val="00445D14"/>
    <w:rsid w:val="00445DC4"/>
    <w:rsid w:val="00451C1D"/>
    <w:rsid w:val="00452038"/>
    <w:rsid w:val="0046026A"/>
    <w:rsid w:val="00464C0C"/>
    <w:rsid w:val="00466DB4"/>
    <w:rsid w:val="0047686B"/>
    <w:rsid w:val="00481BB8"/>
    <w:rsid w:val="004937F7"/>
    <w:rsid w:val="00495CC6"/>
    <w:rsid w:val="00496D26"/>
    <w:rsid w:val="004A1211"/>
    <w:rsid w:val="004A1BB5"/>
    <w:rsid w:val="004A2518"/>
    <w:rsid w:val="004A582A"/>
    <w:rsid w:val="004C27DD"/>
    <w:rsid w:val="004C39E9"/>
    <w:rsid w:val="004C7528"/>
    <w:rsid w:val="004C77DB"/>
    <w:rsid w:val="004F61EA"/>
    <w:rsid w:val="00501BC9"/>
    <w:rsid w:val="00511455"/>
    <w:rsid w:val="00512387"/>
    <w:rsid w:val="00512C59"/>
    <w:rsid w:val="005162FD"/>
    <w:rsid w:val="00516762"/>
    <w:rsid w:val="00523417"/>
    <w:rsid w:val="005443CF"/>
    <w:rsid w:val="00552A6A"/>
    <w:rsid w:val="005607AE"/>
    <w:rsid w:val="0056335E"/>
    <w:rsid w:val="0057104A"/>
    <w:rsid w:val="00574471"/>
    <w:rsid w:val="0058198D"/>
    <w:rsid w:val="00584360"/>
    <w:rsid w:val="00585291"/>
    <w:rsid w:val="005916E6"/>
    <w:rsid w:val="005A49EE"/>
    <w:rsid w:val="005A576F"/>
    <w:rsid w:val="005A5CAA"/>
    <w:rsid w:val="005A7893"/>
    <w:rsid w:val="005B1199"/>
    <w:rsid w:val="005B24EC"/>
    <w:rsid w:val="005B6E03"/>
    <w:rsid w:val="005C3DDB"/>
    <w:rsid w:val="005C7F04"/>
    <w:rsid w:val="005F4E6E"/>
    <w:rsid w:val="005F5858"/>
    <w:rsid w:val="005F6227"/>
    <w:rsid w:val="006041DA"/>
    <w:rsid w:val="006223BD"/>
    <w:rsid w:val="00625681"/>
    <w:rsid w:val="006332A9"/>
    <w:rsid w:val="00633D6E"/>
    <w:rsid w:val="00645AB9"/>
    <w:rsid w:val="00650932"/>
    <w:rsid w:val="00650FF9"/>
    <w:rsid w:val="006775F2"/>
    <w:rsid w:val="00694C46"/>
    <w:rsid w:val="006D3A37"/>
    <w:rsid w:val="006E1627"/>
    <w:rsid w:val="006E5A02"/>
    <w:rsid w:val="006F7214"/>
    <w:rsid w:val="00703C27"/>
    <w:rsid w:val="007050C4"/>
    <w:rsid w:val="00721916"/>
    <w:rsid w:val="00740827"/>
    <w:rsid w:val="007464AC"/>
    <w:rsid w:val="007469B1"/>
    <w:rsid w:val="00752149"/>
    <w:rsid w:val="00754B49"/>
    <w:rsid w:val="00784552"/>
    <w:rsid w:val="007904AF"/>
    <w:rsid w:val="0079067F"/>
    <w:rsid w:val="00790BBE"/>
    <w:rsid w:val="00794145"/>
    <w:rsid w:val="007C0A65"/>
    <w:rsid w:val="007C43AF"/>
    <w:rsid w:val="007C5A39"/>
    <w:rsid w:val="007D23C4"/>
    <w:rsid w:val="007E016F"/>
    <w:rsid w:val="007E2076"/>
    <w:rsid w:val="007E43D1"/>
    <w:rsid w:val="007F341F"/>
    <w:rsid w:val="007F4F3C"/>
    <w:rsid w:val="0080049A"/>
    <w:rsid w:val="008145C1"/>
    <w:rsid w:val="00815018"/>
    <w:rsid w:val="00820811"/>
    <w:rsid w:val="008467E9"/>
    <w:rsid w:val="008473FF"/>
    <w:rsid w:val="0085366B"/>
    <w:rsid w:val="0085700F"/>
    <w:rsid w:val="0086095A"/>
    <w:rsid w:val="00875D05"/>
    <w:rsid w:val="00875E3F"/>
    <w:rsid w:val="00876EA1"/>
    <w:rsid w:val="008817A4"/>
    <w:rsid w:val="00887B03"/>
    <w:rsid w:val="008A14EE"/>
    <w:rsid w:val="008D3FB9"/>
    <w:rsid w:val="008D7040"/>
    <w:rsid w:val="009077FD"/>
    <w:rsid w:val="00910460"/>
    <w:rsid w:val="009216AB"/>
    <w:rsid w:val="00922BBC"/>
    <w:rsid w:val="009432A8"/>
    <w:rsid w:val="00950E6C"/>
    <w:rsid w:val="00957101"/>
    <w:rsid w:val="00962669"/>
    <w:rsid w:val="00971F08"/>
    <w:rsid w:val="00973D2A"/>
    <w:rsid w:val="00974239"/>
    <w:rsid w:val="00985F78"/>
    <w:rsid w:val="00991D0C"/>
    <w:rsid w:val="00994EF5"/>
    <w:rsid w:val="009A044A"/>
    <w:rsid w:val="009B3317"/>
    <w:rsid w:val="009C0FF5"/>
    <w:rsid w:val="009C5696"/>
    <w:rsid w:val="009D36CD"/>
    <w:rsid w:val="009D3E56"/>
    <w:rsid w:val="009D4D3B"/>
    <w:rsid w:val="009E2A5E"/>
    <w:rsid w:val="009E7126"/>
    <w:rsid w:val="009F0374"/>
    <w:rsid w:val="00A00CC8"/>
    <w:rsid w:val="00A056F8"/>
    <w:rsid w:val="00A24A7F"/>
    <w:rsid w:val="00A31422"/>
    <w:rsid w:val="00A35628"/>
    <w:rsid w:val="00A44EAD"/>
    <w:rsid w:val="00A62786"/>
    <w:rsid w:val="00A65FFE"/>
    <w:rsid w:val="00A7614B"/>
    <w:rsid w:val="00A86FF1"/>
    <w:rsid w:val="00A96655"/>
    <w:rsid w:val="00AA2DB6"/>
    <w:rsid w:val="00AC21F0"/>
    <w:rsid w:val="00AD4083"/>
    <w:rsid w:val="00AD5771"/>
    <w:rsid w:val="00AD6621"/>
    <w:rsid w:val="00B00F8E"/>
    <w:rsid w:val="00B05311"/>
    <w:rsid w:val="00B068E7"/>
    <w:rsid w:val="00B1767A"/>
    <w:rsid w:val="00B2075F"/>
    <w:rsid w:val="00B22CF7"/>
    <w:rsid w:val="00B2488D"/>
    <w:rsid w:val="00B3286F"/>
    <w:rsid w:val="00B53D8E"/>
    <w:rsid w:val="00B56094"/>
    <w:rsid w:val="00B7043D"/>
    <w:rsid w:val="00B712A3"/>
    <w:rsid w:val="00B73502"/>
    <w:rsid w:val="00B76052"/>
    <w:rsid w:val="00B92976"/>
    <w:rsid w:val="00BB018D"/>
    <w:rsid w:val="00C03E5D"/>
    <w:rsid w:val="00C306B3"/>
    <w:rsid w:val="00C325CD"/>
    <w:rsid w:val="00C41A76"/>
    <w:rsid w:val="00C47C9B"/>
    <w:rsid w:val="00C51307"/>
    <w:rsid w:val="00C569FA"/>
    <w:rsid w:val="00C56D9E"/>
    <w:rsid w:val="00C654DF"/>
    <w:rsid w:val="00C745C8"/>
    <w:rsid w:val="00C831F8"/>
    <w:rsid w:val="00C861D2"/>
    <w:rsid w:val="00CA2E8D"/>
    <w:rsid w:val="00CB3AE7"/>
    <w:rsid w:val="00CD4D5A"/>
    <w:rsid w:val="00CE25EC"/>
    <w:rsid w:val="00CE7483"/>
    <w:rsid w:val="00CF15CD"/>
    <w:rsid w:val="00CF627D"/>
    <w:rsid w:val="00D0342E"/>
    <w:rsid w:val="00D32F49"/>
    <w:rsid w:val="00D33982"/>
    <w:rsid w:val="00D34346"/>
    <w:rsid w:val="00D356DF"/>
    <w:rsid w:val="00D423EF"/>
    <w:rsid w:val="00D43558"/>
    <w:rsid w:val="00D436BF"/>
    <w:rsid w:val="00D468FA"/>
    <w:rsid w:val="00D51E2E"/>
    <w:rsid w:val="00D61D7E"/>
    <w:rsid w:val="00D63AC8"/>
    <w:rsid w:val="00D73A1B"/>
    <w:rsid w:val="00D7687A"/>
    <w:rsid w:val="00D82243"/>
    <w:rsid w:val="00D87076"/>
    <w:rsid w:val="00D96461"/>
    <w:rsid w:val="00DA165B"/>
    <w:rsid w:val="00DA5C69"/>
    <w:rsid w:val="00DB6FDC"/>
    <w:rsid w:val="00DC0F70"/>
    <w:rsid w:val="00DC1371"/>
    <w:rsid w:val="00DC65ED"/>
    <w:rsid w:val="00DD2C44"/>
    <w:rsid w:val="00DD42BA"/>
    <w:rsid w:val="00DE3E37"/>
    <w:rsid w:val="00DE533E"/>
    <w:rsid w:val="00E111CF"/>
    <w:rsid w:val="00E25DE2"/>
    <w:rsid w:val="00E33378"/>
    <w:rsid w:val="00E570E4"/>
    <w:rsid w:val="00E654A7"/>
    <w:rsid w:val="00E660A7"/>
    <w:rsid w:val="00E67DF1"/>
    <w:rsid w:val="00E70076"/>
    <w:rsid w:val="00E73DA0"/>
    <w:rsid w:val="00E80FAA"/>
    <w:rsid w:val="00E84453"/>
    <w:rsid w:val="00E85DC1"/>
    <w:rsid w:val="00E96264"/>
    <w:rsid w:val="00EA4166"/>
    <w:rsid w:val="00EA5D6B"/>
    <w:rsid w:val="00EB13FE"/>
    <w:rsid w:val="00EB1D7C"/>
    <w:rsid w:val="00EB3A40"/>
    <w:rsid w:val="00EB6211"/>
    <w:rsid w:val="00EC71B1"/>
    <w:rsid w:val="00ED3B1B"/>
    <w:rsid w:val="00EE188B"/>
    <w:rsid w:val="00EF152F"/>
    <w:rsid w:val="00F03549"/>
    <w:rsid w:val="00F14318"/>
    <w:rsid w:val="00F158E3"/>
    <w:rsid w:val="00F2702C"/>
    <w:rsid w:val="00F3681C"/>
    <w:rsid w:val="00F730C3"/>
    <w:rsid w:val="00F9164F"/>
    <w:rsid w:val="00F91AB5"/>
    <w:rsid w:val="00F95B5D"/>
    <w:rsid w:val="00FB2F76"/>
    <w:rsid w:val="00FB60AF"/>
    <w:rsid w:val="00FC0A74"/>
    <w:rsid w:val="00FC2FAD"/>
    <w:rsid w:val="00FC3D32"/>
    <w:rsid w:val="00FD38A8"/>
    <w:rsid w:val="00FF1B18"/>
    <w:rsid w:val="00FF1F98"/>
    <w:rsid w:val="00FF26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FF1B"/>
  <w15:chartTrackingRefBased/>
  <w15:docId w15:val="{D625E768-BF10-4964-9CA2-F765B5E0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МОЙ"/>
    <w:qFormat/>
    <w:rsid w:val="00A7614B"/>
    <w:pPr>
      <w:spacing w:line="360" w:lineRule="auto"/>
      <w:jc w:val="both"/>
    </w:pPr>
    <w:rPr>
      <w:rFonts w:ascii="Times New Roman" w:hAnsi="Times New Roman"/>
      <w:sz w:val="24"/>
    </w:rPr>
  </w:style>
  <w:style w:type="paragraph" w:styleId="1">
    <w:name w:val="heading 1"/>
    <w:aliases w:val="Заголовок вкр"/>
    <w:basedOn w:val="a"/>
    <w:next w:val="a"/>
    <w:link w:val="10"/>
    <w:autoRedefine/>
    <w:uiPriority w:val="9"/>
    <w:qFormat/>
    <w:rsid w:val="002E0AAF"/>
    <w:pPr>
      <w:keepNext/>
      <w:keepLines/>
      <w:spacing w:before="360" w:after="120" w:line="480" w:lineRule="auto"/>
      <w:contextualSpacing/>
      <w:outlineLvl w:val="0"/>
    </w:pPr>
    <w:rPr>
      <w:rFonts w:eastAsiaTheme="majorEastAsia" w:cstheme="majorBidi"/>
      <w:b/>
      <w:color w:val="000000" w:themeColor="text1"/>
      <w:sz w:val="28"/>
      <w:szCs w:val="32"/>
    </w:rPr>
  </w:style>
  <w:style w:type="paragraph" w:styleId="2">
    <w:name w:val="heading 2"/>
    <w:basedOn w:val="a"/>
    <w:next w:val="a"/>
    <w:link w:val="20"/>
    <w:uiPriority w:val="9"/>
    <w:semiHidden/>
    <w:unhideWhenUsed/>
    <w:qFormat/>
    <w:rsid w:val="009B3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B13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подзаголовк 2"/>
    <w:basedOn w:val="3"/>
    <w:next w:val="a"/>
    <w:link w:val="a4"/>
    <w:autoRedefine/>
    <w:uiPriority w:val="10"/>
    <w:qFormat/>
    <w:rsid w:val="004351D7"/>
    <w:pPr>
      <w:spacing w:before="120" w:after="120"/>
      <w:ind w:firstLine="709"/>
      <w:contextualSpacing/>
    </w:pPr>
    <w:rPr>
      <w:rFonts w:ascii="Times New Roman" w:hAnsi="Times New Roman"/>
      <w:i/>
      <w:color w:val="auto"/>
      <w:spacing w:val="-10"/>
      <w:kern w:val="28"/>
      <w:szCs w:val="56"/>
    </w:rPr>
  </w:style>
  <w:style w:type="character" w:customStyle="1" w:styleId="a4">
    <w:name w:val="Заголовок Знак"/>
    <w:aliases w:val="подзаголовк 2 Знак"/>
    <w:basedOn w:val="a0"/>
    <w:link w:val="a3"/>
    <w:uiPriority w:val="10"/>
    <w:rsid w:val="004351D7"/>
    <w:rPr>
      <w:rFonts w:ascii="Times New Roman" w:eastAsiaTheme="majorEastAsia" w:hAnsi="Times New Roman" w:cstheme="majorBidi"/>
      <w:i/>
      <w:spacing w:val="-10"/>
      <w:kern w:val="28"/>
      <w:sz w:val="24"/>
      <w:szCs w:val="56"/>
    </w:rPr>
  </w:style>
  <w:style w:type="paragraph" w:styleId="a5">
    <w:name w:val="Subtitle"/>
    <w:aliases w:val="Подзаголовок вкр"/>
    <w:basedOn w:val="2"/>
    <w:next w:val="a"/>
    <w:link w:val="a6"/>
    <w:autoRedefine/>
    <w:uiPriority w:val="11"/>
    <w:qFormat/>
    <w:rsid w:val="00516762"/>
    <w:pPr>
      <w:numPr>
        <w:ilvl w:val="1"/>
      </w:numPr>
      <w:spacing w:before="160" w:after="120"/>
      <w:contextualSpacing/>
    </w:pPr>
    <w:rPr>
      <w:rFonts w:ascii="Times New Roman" w:hAnsi="Times New Roman"/>
      <w:b/>
      <w:i/>
      <w:color w:val="auto"/>
      <w:sz w:val="24"/>
    </w:rPr>
  </w:style>
  <w:style w:type="character" w:customStyle="1" w:styleId="a6">
    <w:name w:val="Подзаголовок Знак"/>
    <w:aliases w:val="Подзаголовок вкр Знак"/>
    <w:basedOn w:val="a0"/>
    <w:link w:val="a5"/>
    <w:uiPriority w:val="11"/>
    <w:rsid w:val="00516762"/>
    <w:rPr>
      <w:rFonts w:ascii="Times New Roman" w:eastAsiaTheme="majorEastAsia" w:hAnsi="Times New Roman" w:cstheme="majorBidi"/>
      <w:b/>
      <w:i/>
      <w:sz w:val="24"/>
      <w:szCs w:val="26"/>
    </w:rPr>
  </w:style>
  <w:style w:type="character" w:customStyle="1" w:styleId="10">
    <w:name w:val="Заголовок 1 Знак"/>
    <w:aliases w:val="Заголовок вкр Знак"/>
    <w:basedOn w:val="a0"/>
    <w:link w:val="1"/>
    <w:uiPriority w:val="9"/>
    <w:rsid w:val="002E0AA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semiHidden/>
    <w:rsid w:val="009B331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B13FE"/>
    <w:rPr>
      <w:rFonts w:asciiTheme="majorHAnsi" w:eastAsiaTheme="majorEastAsia" w:hAnsiTheme="majorHAnsi" w:cstheme="majorBidi"/>
      <w:color w:val="1F3763" w:themeColor="accent1" w:themeShade="7F"/>
      <w:sz w:val="24"/>
      <w:szCs w:val="24"/>
    </w:rPr>
  </w:style>
  <w:style w:type="character" w:styleId="a7">
    <w:name w:val="footnote reference"/>
    <w:aliases w:val="Referencia nota al pie,Знак сноски 1,Знак сноски-FN,Ciae niinee-FN,Footnote Number,тест сноски,Ссылка на сноску 45,Footnote Reference Number,ftref,fr,Used by Word for Help footnote symbols,-E Fußnotenzeichen,Ciae niinee 1,SUPERS,ОР,Fussnota"/>
    <w:basedOn w:val="a0"/>
    <w:uiPriority w:val="99"/>
    <w:unhideWhenUsed/>
    <w:qFormat/>
    <w:rsid w:val="003C5188"/>
    <w:rPr>
      <w:vertAlign w:val="superscript"/>
    </w:rPr>
  </w:style>
  <w:style w:type="paragraph" w:styleId="a8">
    <w:name w:val="Bibliography"/>
    <w:basedOn w:val="a"/>
    <w:next w:val="a"/>
    <w:uiPriority w:val="37"/>
    <w:unhideWhenUsed/>
    <w:rsid w:val="002E0AAF"/>
    <w:pPr>
      <w:spacing w:after="0" w:line="480" w:lineRule="auto"/>
      <w:ind w:left="720" w:hanging="720"/>
    </w:pPr>
  </w:style>
  <w:style w:type="paragraph" w:styleId="a9">
    <w:name w:val="No Spacing"/>
    <w:uiPriority w:val="1"/>
    <w:qFormat/>
    <w:rsid w:val="00EF152F"/>
    <w:pPr>
      <w:spacing w:after="0" w:line="240" w:lineRule="auto"/>
      <w:jc w:val="both"/>
    </w:pPr>
    <w:rPr>
      <w:rFonts w:ascii="Times New Roman" w:hAnsi="Times New Roman"/>
      <w:sz w:val="24"/>
    </w:rPr>
  </w:style>
  <w:style w:type="paragraph" w:styleId="aa">
    <w:name w:val="List Paragraph"/>
    <w:basedOn w:val="a"/>
    <w:uiPriority w:val="34"/>
    <w:qFormat/>
    <w:rsid w:val="00EB1D7C"/>
    <w:pPr>
      <w:ind w:left="720"/>
      <w:contextualSpacing/>
    </w:pPr>
  </w:style>
  <w:style w:type="paragraph" w:styleId="ab">
    <w:name w:val="footnote text"/>
    <w:basedOn w:val="a"/>
    <w:link w:val="ac"/>
    <w:uiPriority w:val="99"/>
    <w:semiHidden/>
    <w:unhideWhenUsed/>
    <w:rsid w:val="00137F4A"/>
    <w:pPr>
      <w:spacing w:after="0" w:line="240" w:lineRule="auto"/>
    </w:pPr>
    <w:rPr>
      <w:sz w:val="20"/>
      <w:szCs w:val="20"/>
    </w:rPr>
  </w:style>
  <w:style w:type="character" w:customStyle="1" w:styleId="ac">
    <w:name w:val="Текст сноски Знак"/>
    <w:basedOn w:val="a0"/>
    <w:link w:val="ab"/>
    <w:uiPriority w:val="99"/>
    <w:semiHidden/>
    <w:rsid w:val="00137F4A"/>
    <w:rPr>
      <w:rFonts w:ascii="Times New Roman" w:hAnsi="Times New Roman"/>
      <w:sz w:val="20"/>
      <w:szCs w:val="20"/>
    </w:rPr>
  </w:style>
  <w:style w:type="paragraph" w:styleId="ad">
    <w:name w:val="header"/>
    <w:basedOn w:val="a"/>
    <w:link w:val="ae"/>
    <w:uiPriority w:val="99"/>
    <w:unhideWhenUsed/>
    <w:rsid w:val="0080049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0049A"/>
    <w:rPr>
      <w:rFonts w:ascii="Times New Roman" w:hAnsi="Times New Roman"/>
      <w:sz w:val="24"/>
    </w:rPr>
  </w:style>
  <w:style w:type="paragraph" w:styleId="af">
    <w:name w:val="footer"/>
    <w:basedOn w:val="a"/>
    <w:link w:val="af0"/>
    <w:uiPriority w:val="99"/>
    <w:unhideWhenUsed/>
    <w:rsid w:val="0080049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0049A"/>
    <w:rPr>
      <w:rFonts w:ascii="Times New Roman" w:hAnsi="Times New Roman"/>
      <w:sz w:val="24"/>
    </w:rPr>
  </w:style>
  <w:style w:type="character" w:styleId="af1">
    <w:name w:val="endnote reference"/>
    <w:basedOn w:val="a0"/>
    <w:uiPriority w:val="99"/>
    <w:semiHidden/>
    <w:unhideWhenUsed/>
    <w:rsid w:val="008145C1"/>
    <w:rPr>
      <w:vertAlign w:val="superscript"/>
    </w:rPr>
  </w:style>
  <w:style w:type="character" w:styleId="af2">
    <w:name w:val="Hyperlink"/>
    <w:basedOn w:val="a0"/>
    <w:uiPriority w:val="99"/>
    <w:semiHidden/>
    <w:unhideWhenUsed/>
    <w:rsid w:val="00A44EAD"/>
    <w:rPr>
      <w:color w:val="0000FF"/>
      <w:u w:val="single"/>
    </w:rPr>
  </w:style>
  <w:style w:type="paragraph" w:styleId="af3">
    <w:name w:val="Normal (Web)"/>
    <w:basedOn w:val="a"/>
    <w:uiPriority w:val="99"/>
    <w:unhideWhenUsed/>
    <w:rsid w:val="001500E8"/>
    <w:pPr>
      <w:spacing w:before="100" w:beforeAutospacing="1" w:after="100" w:afterAutospacing="1" w:line="240" w:lineRule="auto"/>
      <w:jc w:val="left"/>
    </w:pPr>
    <w:rPr>
      <w:rFonts w:eastAsia="Times New Roman" w:cs="Times New Roman"/>
      <w:szCs w:val="24"/>
      <w:lang w:eastAsia="ru-RU"/>
    </w:rPr>
  </w:style>
  <w:style w:type="paragraph" w:customStyle="1" w:styleId="11">
    <w:name w:val="Список литературы1"/>
    <w:basedOn w:val="a"/>
    <w:link w:val="Bibliography"/>
    <w:rsid w:val="009D3E56"/>
    <w:pPr>
      <w:spacing w:after="240" w:line="240" w:lineRule="auto"/>
      <w:ind w:left="720" w:hanging="720"/>
    </w:pPr>
    <w:rPr>
      <w:lang w:val="en-US"/>
    </w:rPr>
  </w:style>
  <w:style w:type="character" w:customStyle="1" w:styleId="Bibliography">
    <w:name w:val="Bibliography Знак"/>
    <w:basedOn w:val="a0"/>
    <w:link w:val="11"/>
    <w:rsid w:val="009D3E56"/>
    <w:rPr>
      <w:rFonts w:ascii="Times New Roman" w:hAnsi="Times New Roman"/>
      <w:sz w:val="24"/>
      <w:lang w:val="en-US"/>
    </w:rPr>
  </w:style>
  <w:style w:type="character" w:styleId="af4">
    <w:name w:val="Placeholder Text"/>
    <w:basedOn w:val="a0"/>
    <w:uiPriority w:val="99"/>
    <w:semiHidden/>
    <w:rsid w:val="00CE7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1625">
      <w:bodyDiv w:val="1"/>
      <w:marLeft w:val="0"/>
      <w:marRight w:val="0"/>
      <w:marTop w:val="0"/>
      <w:marBottom w:val="0"/>
      <w:divBdr>
        <w:top w:val="none" w:sz="0" w:space="0" w:color="auto"/>
        <w:left w:val="none" w:sz="0" w:space="0" w:color="auto"/>
        <w:bottom w:val="none" w:sz="0" w:space="0" w:color="auto"/>
        <w:right w:val="none" w:sz="0" w:space="0" w:color="auto"/>
      </w:divBdr>
    </w:div>
    <w:div w:id="537935303">
      <w:bodyDiv w:val="1"/>
      <w:marLeft w:val="0"/>
      <w:marRight w:val="0"/>
      <w:marTop w:val="0"/>
      <w:marBottom w:val="0"/>
      <w:divBdr>
        <w:top w:val="none" w:sz="0" w:space="0" w:color="auto"/>
        <w:left w:val="none" w:sz="0" w:space="0" w:color="auto"/>
        <w:bottom w:val="none" w:sz="0" w:space="0" w:color="auto"/>
        <w:right w:val="none" w:sz="0" w:space="0" w:color="auto"/>
      </w:divBdr>
    </w:div>
    <w:div w:id="548955149">
      <w:bodyDiv w:val="1"/>
      <w:marLeft w:val="0"/>
      <w:marRight w:val="0"/>
      <w:marTop w:val="0"/>
      <w:marBottom w:val="0"/>
      <w:divBdr>
        <w:top w:val="none" w:sz="0" w:space="0" w:color="auto"/>
        <w:left w:val="none" w:sz="0" w:space="0" w:color="auto"/>
        <w:bottom w:val="none" w:sz="0" w:space="0" w:color="auto"/>
        <w:right w:val="none" w:sz="0" w:space="0" w:color="auto"/>
      </w:divBdr>
    </w:div>
    <w:div w:id="639531965">
      <w:bodyDiv w:val="1"/>
      <w:marLeft w:val="0"/>
      <w:marRight w:val="0"/>
      <w:marTop w:val="0"/>
      <w:marBottom w:val="0"/>
      <w:divBdr>
        <w:top w:val="none" w:sz="0" w:space="0" w:color="auto"/>
        <w:left w:val="none" w:sz="0" w:space="0" w:color="auto"/>
        <w:bottom w:val="none" w:sz="0" w:space="0" w:color="auto"/>
        <w:right w:val="none" w:sz="0" w:space="0" w:color="auto"/>
      </w:divBdr>
    </w:div>
    <w:div w:id="769083333">
      <w:bodyDiv w:val="1"/>
      <w:marLeft w:val="0"/>
      <w:marRight w:val="0"/>
      <w:marTop w:val="0"/>
      <w:marBottom w:val="0"/>
      <w:divBdr>
        <w:top w:val="none" w:sz="0" w:space="0" w:color="auto"/>
        <w:left w:val="none" w:sz="0" w:space="0" w:color="auto"/>
        <w:bottom w:val="none" w:sz="0" w:space="0" w:color="auto"/>
        <w:right w:val="none" w:sz="0" w:space="0" w:color="auto"/>
      </w:divBdr>
    </w:div>
    <w:div w:id="868761650">
      <w:bodyDiv w:val="1"/>
      <w:marLeft w:val="0"/>
      <w:marRight w:val="0"/>
      <w:marTop w:val="0"/>
      <w:marBottom w:val="0"/>
      <w:divBdr>
        <w:top w:val="none" w:sz="0" w:space="0" w:color="auto"/>
        <w:left w:val="none" w:sz="0" w:space="0" w:color="auto"/>
        <w:bottom w:val="none" w:sz="0" w:space="0" w:color="auto"/>
        <w:right w:val="none" w:sz="0" w:space="0" w:color="auto"/>
      </w:divBdr>
    </w:div>
    <w:div w:id="1051854016">
      <w:bodyDiv w:val="1"/>
      <w:marLeft w:val="0"/>
      <w:marRight w:val="0"/>
      <w:marTop w:val="0"/>
      <w:marBottom w:val="0"/>
      <w:divBdr>
        <w:top w:val="none" w:sz="0" w:space="0" w:color="auto"/>
        <w:left w:val="none" w:sz="0" w:space="0" w:color="auto"/>
        <w:bottom w:val="none" w:sz="0" w:space="0" w:color="auto"/>
        <w:right w:val="none" w:sz="0" w:space="0" w:color="auto"/>
      </w:divBdr>
    </w:div>
    <w:div w:id="1449156550">
      <w:bodyDiv w:val="1"/>
      <w:marLeft w:val="0"/>
      <w:marRight w:val="0"/>
      <w:marTop w:val="0"/>
      <w:marBottom w:val="0"/>
      <w:divBdr>
        <w:top w:val="none" w:sz="0" w:space="0" w:color="auto"/>
        <w:left w:val="none" w:sz="0" w:space="0" w:color="auto"/>
        <w:bottom w:val="none" w:sz="0" w:space="0" w:color="auto"/>
        <w:right w:val="none" w:sz="0" w:space="0" w:color="auto"/>
      </w:divBdr>
    </w:div>
    <w:div w:id="1782920088">
      <w:bodyDiv w:val="1"/>
      <w:marLeft w:val="0"/>
      <w:marRight w:val="0"/>
      <w:marTop w:val="0"/>
      <w:marBottom w:val="0"/>
      <w:divBdr>
        <w:top w:val="none" w:sz="0" w:space="0" w:color="auto"/>
        <w:left w:val="none" w:sz="0" w:space="0" w:color="auto"/>
        <w:bottom w:val="none" w:sz="0" w:space="0" w:color="auto"/>
        <w:right w:val="none" w:sz="0" w:space="0" w:color="auto"/>
      </w:divBdr>
    </w:div>
    <w:div w:id="20340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1F54B-4C1E-4902-8C60-3C158AFD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2934</Words>
  <Characters>16730</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Устюжанин Вадим</dc:creator>
  <cp:keywords/>
  <dc:description/>
  <cp:lastModifiedBy>Устюжанин Вадим</cp:lastModifiedBy>
  <cp:revision>97</cp:revision>
  <dcterms:created xsi:type="dcterms:W3CDTF">2024-04-09T15:18:00Z</dcterms:created>
  <dcterms:modified xsi:type="dcterms:W3CDTF">2024-06-05T21:33:00Z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id="p1FO9Qht"/&gt;&lt;style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ies>
</file>