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628B" w14:textId="30FEFED6" w:rsidR="00187E88" w:rsidRDefault="00C325CD" w:rsidP="00AC4FB7">
      <w:pPr>
        <w:pStyle w:val="1"/>
        <w:rPr>
          <w:lang w:val="en-US"/>
        </w:rPr>
      </w:pPr>
      <w:r>
        <w:rPr>
          <w:lang w:val="en-US"/>
        </w:rPr>
        <w:t xml:space="preserve">Appendix – </w:t>
      </w:r>
      <w:r w:rsidR="00AC4FB7">
        <w:rPr>
          <w:lang w:val="en-US"/>
        </w:rPr>
        <w:t>Replication of main analysis using r</w:t>
      </w:r>
      <w:r w:rsidR="006C7916">
        <w:rPr>
          <w:lang w:val="en-US"/>
        </w:rPr>
        <w:t>egion FE</w:t>
      </w:r>
    </w:p>
    <w:p w14:paraId="58B0098C" w14:textId="535FAD31" w:rsidR="007935B8" w:rsidRPr="008E4844" w:rsidRDefault="008E4844" w:rsidP="008E4844">
      <w:pPr>
        <w:rPr>
          <w:lang w:val="en-US"/>
        </w:rPr>
      </w:pPr>
      <w:r>
        <w:rPr>
          <w:lang w:val="en-US"/>
        </w:rPr>
        <w:t xml:space="preserve">This appendix replicates the main analysis from the paper using region FE as alternative to year FE, exploited in the main research. Region </w:t>
      </w:r>
      <w:r w:rsidRPr="008E4844">
        <w:rPr>
          <w:lang w:val="en-US"/>
        </w:rPr>
        <w:t xml:space="preserve">FE shows an effect of GDP per capita on unarmed revolutions generalized to cross-sectional units. In other words, it shows how dynamic of GDP per capita affects probability of unarmed revolutions (within-effect). </w:t>
      </w:r>
      <w:r>
        <w:rPr>
          <w:lang w:val="en-US"/>
        </w:rPr>
        <w:t>From Table 1 it is seen that</w:t>
      </w:r>
      <w:r w:rsidRPr="008E4844">
        <w:rPr>
          <w:lang w:val="en-US"/>
        </w:rPr>
        <w:t xml:space="preserve"> </w:t>
      </w:r>
      <w:r>
        <w:rPr>
          <w:lang w:val="en-US"/>
        </w:rPr>
        <w:t xml:space="preserve">in the </w:t>
      </w:r>
      <w:r w:rsidRPr="008E4844">
        <w:rPr>
          <w:lang w:val="en-US"/>
        </w:rPr>
        <w:t>models without multiple imputations</w:t>
      </w:r>
      <w:r>
        <w:rPr>
          <w:lang w:val="en-US"/>
        </w:rPr>
        <w:t xml:space="preserve"> (M2, M4),</w:t>
      </w:r>
      <w:r w:rsidRPr="008E4844">
        <w:rPr>
          <w:lang w:val="en-US"/>
        </w:rPr>
        <w:t xml:space="preserve"> the coefficients are marginally significant, while in case of models estimated on imputed data, the results are highly significant. Thus, results are robust and endogeneity due to omitted time-invariant factors in the main analysis does not affect results </w:t>
      </w:r>
      <w:r w:rsidR="007377E9">
        <w:rPr>
          <w:lang w:val="en-US"/>
        </w:rPr>
        <w:t>substantially</w:t>
      </w:r>
      <w:r w:rsidRPr="008E4844">
        <w:rPr>
          <w:lang w:val="en-US"/>
        </w:rPr>
        <w:t>.</w:t>
      </w:r>
    </w:p>
    <w:tbl>
      <w:tblPr>
        <w:tblW w:w="10207" w:type="dxa"/>
        <w:jc w:val="center"/>
        <w:tblLayout w:type="fixed"/>
        <w:tblLook w:val="0420" w:firstRow="1" w:lastRow="0" w:firstColumn="0" w:lastColumn="0" w:noHBand="0" w:noVBand="1"/>
      </w:tblPr>
      <w:tblGrid>
        <w:gridCol w:w="2127"/>
        <w:gridCol w:w="992"/>
        <w:gridCol w:w="992"/>
        <w:gridCol w:w="993"/>
        <w:gridCol w:w="1134"/>
        <w:gridCol w:w="992"/>
        <w:gridCol w:w="992"/>
        <w:gridCol w:w="992"/>
        <w:gridCol w:w="993"/>
      </w:tblGrid>
      <w:tr w:rsidR="00577A78" w:rsidRPr="007935B8" w14:paraId="6491ED9B" w14:textId="77777777" w:rsidTr="00A07A0A">
        <w:trPr>
          <w:tblHeader/>
          <w:jc w:val="center"/>
        </w:trPr>
        <w:tc>
          <w:tcPr>
            <w:tcW w:w="10207" w:type="dxa"/>
            <w:gridSpan w:val="9"/>
            <w:tcBorders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B39B7" w14:textId="19933F26" w:rsidR="00577A78" w:rsidRPr="00853FC6" w:rsidRDefault="00577A78" w:rsidP="007870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rPr>
                <w:rFonts w:cs="Times New Roman"/>
                <w:szCs w:val="24"/>
                <w:lang w:val="en-US"/>
              </w:rPr>
            </w:pPr>
            <w:r w:rsidRPr="00853FC6">
              <w:rPr>
                <w:rFonts w:eastAsia="Helvetica" w:cs="Times New Roman"/>
                <w:color w:val="000000"/>
                <w:szCs w:val="24"/>
                <w:lang w:val="en-US"/>
              </w:rPr>
              <w:t xml:space="preserve">Table </w:t>
            </w:r>
            <w:r>
              <w:rPr>
                <w:rFonts w:eastAsia="Helvetica" w:cs="Times New Roman"/>
                <w:color w:val="000000"/>
                <w:szCs w:val="24"/>
                <w:lang w:val="en-US"/>
              </w:rPr>
              <w:t>1</w:t>
            </w:r>
            <w:r w:rsidRPr="00853FC6">
              <w:rPr>
                <w:rFonts w:eastAsia="Helvetica" w:cs="Times New Roman"/>
                <w:color w:val="000000"/>
                <w:szCs w:val="24"/>
                <w:lang w:val="en-US"/>
              </w:rPr>
              <w:t xml:space="preserve">. </w:t>
            </w:r>
            <w:r w:rsidR="00853FC6">
              <w:rPr>
                <w:rFonts w:eastAsia="Helvetica" w:cs="Times New Roman"/>
                <w:color w:val="000000"/>
                <w:szCs w:val="24"/>
                <w:lang w:val="en-US"/>
              </w:rPr>
              <w:t>Logistic regression models for “rare events” on unarmed revolutions occurrence with region FE, 1950-2019</w:t>
            </w:r>
          </w:p>
        </w:tc>
      </w:tr>
      <w:tr w:rsidR="00577A78" w:rsidRPr="007C4582" w14:paraId="7A67DF18" w14:textId="77777777" w:rsidTr="00A07A0A">
        <w:trPr>
          <w:trHeight w:val="451"/>
          <w:tblHeader/>
          <w:jc w:val="center"/>
        </w:trPr>
        <w:tc>
          <w:tcPr>
            <w:tcW w:w="21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54221" w14:textId="77777777" w:rsidR="00577A78" w:rsidRPr="00853FC6" w:rsidRDefault="00577A78" w:rsidP="007870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080" w:type="dxa"/>
            <w:gridSpan w:val="8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6B844" w14:textId="77777777" w:rsidR="00577A78" w:rsidRPr="001B6262" w:rsidRDefault="00577A78" w:rsidP="007870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Helvetica" w:cs="Times New Roman"/>
                <w:color w:val="000000"/>
                <w:sz w:val="22"/>
                <w:lang w:val="en-US"/>
              </w:rPr>
            </w:pPr>
            <w:r>
              <w:rPr>
                <w:rFonts w:eastAsia="Helvetica" w:cs="Times New Roman"/>
                <w:color w:val="000000"/>
                <w:sz w:val="22"/>
                <w:lang w:val="en-US"/>
              </w:rPr>
              <w:t>Dependent Variable:</w:t>
            </w:r>
          </w:p>
        </w:tc>
      </w:tr>
      <w:tr w:rsidR="00577A78" w:rsidRPr="007C4582" w14:paraId="49465C13" w14:textId="77777777" w:rsidTr="00A07A0A">
        <w:trPr>
          <w:trHeight w:val="401"/>
          <w:tblHeader/>
          <w:jc w:val="center"/>
        </w:trPr>
        <w:tc>
          <w:tcPr>
            <w:tcW w:w="2127" w:type="dxa"/>
            <w:vMerge w:val="restart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6861D" w14:textId="77777777" w:rsidR="00577A78" w:rsidRPr="00532017" w:rsidRDefault="00577A78" w:rsidP="007870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rPr>
                <w:rFonts w:cs="Times New Roman"/>
                <w:sz w:val="22"/>
              </w:rPr>
            </w:pPr>
            <w:r>
              <w:rPr>
                <w:rFonts w:eastAsia="Helvetica" w:cs="Times New Roman"/>
                <w:color w:val="000000"/>
                <w:sz w:val="22"/>
                <w:lang w:val="en-US"/>
              </w:rPr>
              <w:t>Variable</w:t>
            </w:r>
          </w:p>
        </w:tc>
        <w:tc>
          <w:tcPr>
            <w:tcW w:w="4111" w:type="dxa"/>
            <w:gridSpan w:val="4"/>
            <w:tcBorders>
              <w:top w:val="single" w:sz="12" w:space="0" w:color="666666"/>
              <w:left w:val="nil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4040B" w14:textId="77777777" w:rsidR="00577A78" w:rsidRPr="001047F7" w:rsidRDefault="00577A78" w:rsidP="007870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22"/>
              </w:rPr>
            </w:pPr>
            <w:r w:rsidRPr="001047F7">
              <w:rPr>
                <w:rFonts w:eastAsia="Helvetica" w:cs="Times New Roman"/>
                <w:color w:val="000000"/>
                <w:sz w:val="22"/>
              </w:rPr>
              <w:t>NAVCO 1.3</w:t>
            </w:r>
          </w:p>
        </w:tc>
        <w:tc>
          <w:tcPr>
            <w:tcW w:w="3969" w:type="dxa"/>
            <w:gridSpan w:val="4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BD711" w14:textId="77777777" w:rsidR="00577A78" w:rsidRPr="001047F7" w:rsidRDefault="00577A78" w:rsidP="007870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22"/>
              </w:rPr>
            </w:pPr>
            <w:r w:rsidRPr="001047F7">
              <w:rPr>
                <w:rFonts w:eastAsia="Helvetica" w:cs="Times New Roman"/>
                <w:color w:val="000000"/>
                <w:sz w:val="22"/>
              </w:rPr>
              <w:t xml:space="preserve">Beissinger's </w:t>
            </w:r>
            <w:proofErr w:type="spellStart"/>
            <w:r w:rsidRPr="001047F7">
              <w:rPr>
                <w:rFonts w:eastAsia="Helvetica" w:cs="Times New Roman"/>
                <w:color w:val="000000"/>
                <w:sz w:val="22"/>
              </w:rPr>
              <w:t>data</w:t>
            </w:r>
            <w:proofErr w:type="spellEnd"/>
          </w:p>
        </w:tc>
      </w:tr>
      <w:tr w:rsidR="00577A78" w:rsidRPr="007C4582" w14:paraId="5A3FD9B5" w14:textId="77777777" w:rsidTr="00A07A0A">
        <w:trPr>
          <w:tblHeader/>
          <w:jc w:val="center"/>
        </w:trPr>
        <w:tc>
          <w:tcPr>
            <w:tcW w:w="2127" w:type="dxa"/>
            <w:vMerge/>
            <w:tcBorders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727E2" w14:textId="77777777" w:rsidR="00577A78" w:rsidRPr="001B6262" w:rsidRDefault="00577A78" w:rsidP="007870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1E0EA" w14:textId="77777777" w:rsidR="00577A78" w:rsidRPr="002F5113" w:rsidRDefault="00577A78" w:rsidP="007870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eastAsia="Helvetica" w:cs="Times New Roman"/>
                <w:color w:val="000000"/>
                <w:sz w:val="22"/>
                <w:lang w:val="en-US"/>
              </w:rPr>
              <w:t>M</w:t>
            </w:r>
            <w:r w:rsidRPr="001047F7">
              <w:rPr>
                <w:rFonts w:eastAsia="Helvetica" w:cs="Times New Roman"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E6CB8" w14:textId="77777777" w:rsidR="00577A78" w:rsidRPr="001B6262" w:rsidRDefault="00577A78" w:rsidP="007870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eastAsia="Helvetica" w:cs="Times New Roman"/>
                <w:color w:val="000000"/>
                <w:sz w:val="22"/>
                <w:lang w:val="en-US"/>
              </w:rPr>
              <w:t>M</w:t>
            </w:r>
            <w:r w:rsidRPr="001047F7">
              <w:rPr>
                <w:rFonts w:eastAsia="Helvetica" w:cs="Times New Roman"/>
                <w:color w:val="000000"/>
                <w:sz w:val="22"/>
              </w:rPr>
              <w:t xml:space="preserve">1 </w:t>
            </w:r>
            <w:r>
              <w:rPr>
                <w:rFonts w:eastAsia="Helvetica" w:cs="Times New Roman"/>
                <w:color w:val="000000"/>
                <w:sz w:val="22"/>
                <w:lang w:val="en-US"/>
              </w:rPr>
              <w:t>(imp)</w:t>
            </w:r>
          </w:p>
        </w:tc>
        <w:tc>
          <w:tcPr>
            <w:tcW w:w="9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D7E0D" w14:textId="77777777" w:rsidR="00577A78" w:rsidRPr="001047F7" w:rsidRDefault="00577A78" w:rsidP="007870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22"/>
              </w:rPr>
            </w:pPr>
            <w:r>
              <w:rPr>
                <w:rFonts w:eastAsia="Helvetica" w:cs="Times New Roman"/>
                <w:color w:val="000000"/>
                <w:sz w:val="22"/>
                <w:lang w:val="en-US"/>
              </w:rPr>
              <w:t>M</w:t>
            </w:r>
            <w:r w:rsidRPr="001047F7">
              <w:rPr>
                <w:rFonts w:eastAsia="Helvetica" w:cs="Times New Roman"/>
                <w:color w:val="000000"/>
                <w:sz w:val="22"/>
              </w:rPr>
              <w:t>2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97CD5" w14:textId="77777777" w:rsidR="00577A78" w:rsidRDefault="00577A78" w:rsidP="007870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Helvetica" w:cs="Times New Roman"/>
                <w:color w:val="000000"/>
                <w:sz w:val="22"/>
              </w:rPr>
            </w:pPr>
            <w:r>
              <w:rPr>
                <w:rFonts w:eastAsia="Helvetica" w:cs="Times New Roman"/>
                <w:color w:val="000000"/>
                <w:sz w:val="22"/>
                <w:lang w:val="en-US"/>
              </w:rPr>
              <w:t>M</w:t>
            </w:r>
            <w:r w:rsidRPr="001047F7">
              <w:rPr>
                <w:rFonts w:eastAsia="Helvetica" w:cs="Times New Roman"/>
                <w:color w:val="000000"/>
                <w:sz w:val="22"/>
              </w:rPr>
              <w:t xml:space="preserve">2 </w:t>
            </w:r>
          </w:p>
          <w:p w14:paraId="4CA6D57D" w14:textId="77777777" w:rsidR="00577A78" w:rsidRPr="001B6262" w:rsidRDefault="00577A78" w:rsidP="007870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eastAsia="Helvetica" w:cs="Times New Roman"/>
                <w:color w:val="000000"/>
                <w:sz w:val="22"/>
                <w:lang w:val="en-US"/>
              </w:rPr>
              <w:t>(imp)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8FBA5" w14:textId="77777777" w:rsidR="00577A78" w:rsidRPr="001047F7" w:rsidRDefault="00577A78" w:rsidP="007870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22"/>
              </w:rPr>
            </w:pPr>
            <w:r>
              <w:rPr>
                <w:rFonts w:eastAsia="Helvetica" w:cs="Times New Roman"/>
                <w:color w:val="000000"/>
                <w:sz w:val="22"/>
                <w:lang w:val="en-US"/>
              </w:rPr>
              <w:t>M</w:t>
            </w:r>
            <w:r w:rsidRPr="001047F7">
              <w:rPr>
                <w:rFonts w:eastAsia="Helvetica" w:cs="Times New Roman"/>
                <w:color w:val="000000"/>
                <w:sz w:val="22"/>
              </w:rPr>
              <w:t>3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ABD9C" w14:textId="77777777" w:rsidR="00577A78" w:rsidRDefault="00577A78" w:rsidP="007870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Helvetica" w:cs="Times New Roman"/>
                <w:color w:val="000000"/>
                <w:sz w:val="22"/>
              </w:rPr>
            </w:pPr>
            <w:r>
              <w:rPr>
                <w:rFonts w:eastAsia="Helvetica" w:cs="Times New Roman"/>
                <w:color w:val="000000"/>
                <w:sz w:val="22"/>
                <w:lang w:val="en-US"/>
              </w:rPr>
              <w:t>M</w:t>
            </w:r>
            <w:r w:rsidRPr="001047F7">
              <w:rPr>
                <w:rFonts w:eastAsia="Helvetica" w:cs="Times New Roman"/>
                <w:color w:val="000000"/>
                <w:sz w:val="22"/>
              </w:rPr>
              <w:t>3</w:t>
            </w:r>
          </w:p>
          <w:p w14:paraId="7608ED40" w14:textId="77777777" w:rsidR="00577A78" w:rsidRPr="001B6262" w:rsidRDefault="00577A78" w:rsidP="007870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eastAsia="Helvetica" w:cs="Times New Roman"/>
                <w:color w:val="000000"/>
                <w:sz w:val="22"/>
                <w:lang w:val="en-US"/>
              </w:rPr>
              <w:t>(</w:t>
            </w:r>
            <w:proofErr w:type="spellStart"/>
            <w:r w:rsidRPr="001047F7">
              <w:rPr>
                <w:rFonts w:eastAsia="Helvetica" w:cs="Times New Roman"/>
                <w:color w:val="000000"/>
                <w:sz w:val="22"/>
              </w:rPr>
              <w:t>imp</w:t>
            </w:r>
            <w:r>
              <w:rPr>
                <w:rFonts w:eastAsia="Helvetica" w:cs="Times New Roman"/>
                <w:color w:val="000000"/>
                <w:sz w:val="22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29986" w14:textId="77777777" w:rsidR="00577A78" w:rsidRPr="001047F7" w:rsidRDefault="00577A78" w:rsidP="007870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22"/>
              </w:rPr>
            </w:pPr>
            <w:proofErr w:type="spellEnd"/>
            <w:r>
              <w:rPr>
                <w:rFonts w:eastAsia="Helvetica" w:cs="Times New Roman"/>
                <w:color w:val="000000"/>
                <w:sz w:val="22"/>
                <w:lang w:val="en-US"/>
              </w:rPr>
              <w:t>M</w:t>
            </w:r>
            <w:r w:rsidRPr="001047F7">
              <w:rPr>
                <w:rFonts w:eastAsia="Helvetica" w:cs="Times New Roman"/>
                <w:color w:val="000000"/>
                <w:sz w:val="22"/>
              </w:rPr>
              <w:t>4</w:t>
            </w:r>
          </w:p>
        </w:tc>
        <w:tc>
          <w:tcPr>
            <w:tcW w:w="9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88B76" w14:textId="77777777" w:rsidR="00577A78" w:rsidRDefault="00577A78" w:rsidP="007870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Helvetica" w:cs="Times New Roman"/>
                <w:color w:val="000000"/>
                <w:sz w:val="22"/>
              </w:rPr>
            </w:pPr>
            <w:r>
              <w:rPr>
                <w:rFonts w:eastAsia="Helvetica" w:cs="Times New Roman"/>
                <w:color w:val="000000"/>
                <w:sz w:val="22"/>
                <w:lang w:val="en-US"/>
              </w:rPr>
              <w:t>M</w:t>
            </w:r>
            <w:r w:rsidRPr="001047F7">
              <w:rPr>
                <w:rFonts w:eastAsia="Helvetica" w:cs="Times New Roman"/>
                <w:color w:val="000000"/>
                <w:sz w:val="22"/>
              </w:rPr>
              <w:t xml:space="preserve">4 </w:t>
            </w:r>
          </w:p>
          <w:p w14:paraId="5A1B0947" w14:textId="77777777" w:rsidR="00577A78" w:rsidRPr="001B6262" w:rsidRDefault="00577A78" w:rsidP="007870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eastAsia="Helvetica" w:cs="Times New Roman"/>
                <w:color w:val="000000"/>
                <w:sz w:val="22"/>
                <w:lang w:val="en-US"/>
              </w:rPr>
              <w:t>(</w:t>
            </w:r>
            <w:proofErr w:type="spellStart"/>
            <w:r w:rsidRPr="001047F7">
              <w:rPr>
                <w:rFonts w:eastAsia="Helvetica" w:cs="Times New Roman"/>
                <w:color w:val="000000"/>
                <w:sz w:val="22"/>
              </w:rPr>
              <w:t>imp</w:t>
            </w:r>
            <w:proofErr w:type="spellEnd"/>
            <w:r>
              <w:rPr>
                <w:rFonts w:eastAsia="Helvetica" w:cs="Times New Roman"/>
                <w:color w:val="000000"/>
                <w:sz w:val="22"/>
                <w:lang w:val="en-US"/>
              </w:rPr>
              <w:t>)</w:t>
            </w:r>
          </w:p>
        </w:tc>
      </w:tr>
      <w:tr w:rsidR="00577A78" w:rsidRPr="00577A78" w14:paraId="6E8108D4" w14:textId="77777777" w:rsidTr="00A07A0A">
        <w:trPr>
          <w:jc w:val="center"/>
        </w:trPr>
        <w:tc>
          <w:tcPr>
            <w:tcW w:w="212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FEAB1" w14:textId="77777777" w:rsidR="00577A78" w:rsidRPr="001047F7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22"/>
              </w:rPr>
            </w:pPr>
            <w:r w:rsidRPr="001047F7">
              <w:rPr>
                <w:rFonts w:eastAsia="Helvetica" w:cs="Times New Roman"/>
                <w:color w:val="000000"/>
                <w:sz w:val="22"/>
              </w:rPr>
              <w:t>(</w:t>
            </w:r>
            <w:proofErr w:type="spellStart"/>
            <w:r w:rsidRPr="001047F7">
              <w:rPr>
                <w:rFonts w:eastAsia="Helvetica" w:cs="Times New Roman"/>
                <w:color w:val="000000"/>
                <w:sz w:val="22"/>
              </w:rPr>
              <w:t>Intercept</w:t>
            </w:r>
            <w:proofErr w:type="spellEnd"/>
            <w:r w:rsidRPr="001047F7">
              <w:rPr>
                <w:rFonts w:eastAsia="Helvetica" w:cs="Times New Roman"/>
                <w:color w:val="000000"/>
                <w:sz w:val="22"/>
              </w:rPr>
              <w:t>)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B5E65" w14:textId="2F61D36A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-2.55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11737" w14:textId="11A0A3AA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-6.79</w:t>
            </w:r>
          </w:p>
        </w:tc>
        <w:tc>
          <w:tcPr>
            <w:tcW w:w="9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809B" w14:textId="2E446D0A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-10.59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69C2A" w14:textId="3B61E1C5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-18.66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1D9A4" w14:textId="0244797B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-5.18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72F04" w14:textId="2E0DEE06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-7.14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3560B" w14:textId="78B74316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-14.7</w:t>
            </w:r>
          </w:p>
        </w:tc>
        <w:tc>
          <w:tcPr>
            <w:tcW w:w="9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89035" w14:textId="6BC530CB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-20.44</w:t>
            </w:r>
          </w:p>
        </w:tc>
      </w:tr>
      <w:tr w:rsidR="00577A78" w:rsidRPr="00577A78" w14:paraId="5C909673" w14:textId="77777777" w:rsidTr="00A07A0A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C90EE" w14:textId="77777777" w:rsidR="00577A78" w:rsidRPr="001047F7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0EFE0" w14:textId="69DA5BF6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(-1.24)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F300D" w14:textId="17F6A280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(-3.64)***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34E18" w14:textId="77DEDB4C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(-1.65)*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7D3B9" w14:textId="19EA83C3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(-3.25)***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345A" w14:textId="6FD0F6F1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(-2.89)**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F39DC" w14:textId="600FD784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(-4.81)***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B8C9A" w14:textId="5A496D8A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(-2.91)**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DEE6E" w14:textId="5DFC9172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(-4.19)***</w:t>
            </w:r>
          </w:p>
        </w:tc>
      </w:tr>
      <w:tr w:rsidR="00577A78" w:rsidRPr="00577A78" w14:paraId="4B62EC8C" w14:textId="77777777" w:rsidTr="00A07A0A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8A53A" w14:textId="77777777" w:rsidR="00577A78" w:rsidRPr="000A461C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eastAsia="Helvetica" w:cs="Times New Roman"/>
                <w:color w:val="000000"/>
                <w:sz w:val="22"/>
                <w:lang w:val="en-US"/>
              </w:rPr>
              <w:t>GDP pc, ln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767AE" w14:textId="588BD29E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-0.33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14E3C" w14:textId="55C30E74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32D57" w14:textId="3E31DBEA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F1868" w14:textId="1E034F97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2.68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8114B" w14:textId="2816BC45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C36FA" w14:textId="660941A3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5C84C" w14:textId="74F3F5C2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1DD48" w14:textId="7228F026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3.13</w:t>
            </w:r>
          </w:p>
        </w:tc>
      </w:tr>
      <w:tr w:rsidR="00577A78" w:rsidRPr="00577A78" w14:paraId="47ACC698" w14:textId="77777777" w:rsidTr="00A07A0A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98516" w14:textId="77777777" w:rsidR="00577A78" w:rsidRPr="001047F7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368BF" w14:textId="1FE9374F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(-1.4)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6335D" w14:textId="5FFF552D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(-0.39)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D57AB" w14:textId="29473238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(1.07)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90FA3" w14:textId="5D03E4F2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(2.13)*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9DC38" w14:textId="4DECFA07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(-0.98)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241DD" w14:textId="2BC2B8AF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(0.16)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575E2" w14:textId="2A62589D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(1.78)*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8143B" w14:textId="64F47C27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(2.9)**</w:t>
            </w:r>
          </w:p>
        </w:tc>
      </w:tr>
      <w:tr w:rsidR="00577A78" w:rsidRPr="00577A78" w14:paraId="15CDE415" w14:textId="77777777" w:rsidTr="00A07A0A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B97AB" w14:textId="77777777" w:rsidR="00577A78" w:rsidRPr="001047F7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eastAsia="Helvetica" w:cs="Times New Roman"/>
                <w:color w:val="000000"/>
                <w:sz w:val="22"/>
                <w:lang w:val="en-US"/>
              </w:rPr>
              <w:t>GDP pc, ln (sq)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6673E" w14:textId="77777777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3937B" w14:textId="77777777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DCD57" w14:textId="0193C412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B85F5" w14:textId="4A45D455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-0.16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ECB84" w14:textId="77777777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253AE" w14:textId="77777777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1140D" w14:textId="49F6E7A7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0864" w14:textId="4B7D8C6A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-0.18</w:t>
            </w:r>
          </w:p>
        </w:tc>
      </w:tr>
      <w:tr w:rsidR="00577A78" w:rsidRPr="00577A78" w14:paraId="3EDB58C9" w14:textId="77777777" w:rsidTr="00A07A0A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3C7DB" w14:textId="77777777" w:rsidR="00577A78" w:rsidRPr="001047F7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6E851" w14:textId="77777777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B110A" w14:textId="77777777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98D84" w14:textId="24C88455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(-1.32)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6D578" w14:textId="20DBC8BC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(-2.26)*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85899" w14:textId="77777777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BD718" w14:textId="77777777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7BB0A" w14:textId="51444960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(-1.96)*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F4A1F" w14:textId="321AB140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(-2.92)**</w:t>
            </w:r>
          </w:p>
        </w:tc>
      </w:tr>
      <w:tr w:rsidR="00577A78" w:rsidRPr="00577A78" w14:paraId="26970C31" w14:textId="77777777" w:rsidTr="00A07A0A">
        <w:trPr>
          <w:trHeight w:val="253"/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9E278" w14:textId="77777777" w:rsidR="00577A78" w:rsidRPr="002F5113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eastAsia="Helvetica" w:cs="Times New Roman"/>
                <w:color w:val="000000"/>
                <w:sz w:val="22"/>
                <w:lang w:val="en-US"/>
              </w:rPr>
              <w:t>Population, ln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2126D" w14:textId="62AD7DDE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9AA9A" w14:textId="2AF35D1C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2A8F6" w14:textId="3FC96581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8EF75" w14:textId="5B105D10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752B7" w14:textId="2D20E299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D0FF1" w14:textId="162FED80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98C1B" w14:textId="54C3B817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0D5CD" w14:textId="322CC86C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0.28</w:t>
            </w:r>
          </w:p>
        </w:tc>
      </w:tr>
      <w:tr w:rsidR="00577A78" w:rsidRPr="00577A78" w14:paraId="779974AF" w14:textId="77777777" w:rsidTr="00A07A0A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B6ACD" w14:textId="77777777" w:rsidR="00577A78" w:rsidRPr="001047F7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CFA63" w14:textId="6C3F6B90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(0.64)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7F7C" w14:textId="38AF9789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(2.32)*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D7185" w14:textId="36623119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(0.62)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8BB02" w14:textId="248BDD3F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(2.31)*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AFE56" w14:textId="17E69BDE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(4.17)***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C1570" w14:textId="770DA88D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(4.99)***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F4E9D" w14:textId="6F54FEE4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(4.28)***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7D093" w14:textId="26D131B6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(5.13)***</w:t>
            </w:r>
          </w:p>
        </w:tc>
      </w:tr>
      <w:tr w:rsidR="00577A78" w:rsidRPr="00577A78" w14:paraId="2E66E5C1" w14:textId="77777777" w:rsidTr="00A07A0A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E633F" w14:textId="77777777" w:rsidR="00577A78" w:rsidRPr="002F5113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eastAsia="Helvetica" w:cs="Times New Roman"/>
                <w:color w:val="000000"/>
                <w:sz w:val="22"/>
                <w:lang w:val="en-US"/>
              </w:rPr>
              <w:t>Polity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24387" w14:textId="6298608D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54B23" w14:textId="0E573682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0674A" w14:textId="2CCA3E24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75919" w14:textId="6025791B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1FE67" w14:textId="62BFB030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9AC08" w14:textId="4BA01FDD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76FC" w14:textId="0994253E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697B6" w14:textId="38850076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-0.02</w:t>
            </w:r>
          </w:p>
        </w:tc>
      </w:tr>
      <w:tr w:rsidR="00577A78" w:rsidRPr="00577A78" w14:paraId="7A6C3AF4" w14:textId="77777777" w:rsidTr="00A07A0A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8DF47" w14:textId="77777777" w:rsidR="00577A78" w:rsidRPr="001047F7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A692D" w14:textId="0E581F61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(0.04)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1E100" w14:textId="71A0E5CE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(0.4)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1AE4A" w14:textId="57A86AF3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(-0.03)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83F4D" w14:textId="0C3B96AF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(0.29)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12E88" w14:textId="446B866D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(-1.07)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31523" w14:textId="5D9EA846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(-1.34)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EB19C" w14:textId="657D2715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(-1.07)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09BF7" w14:textId="7E89473E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(-1.39)</w:t>
            </w:r>
          </w:p>
        </w:tc>
      </w:tr>
      <w:tr w:rsidR="00577A78" w:rsidRPr="00577A78" w14:paraId="7C82E9E5" w14:textId="77777777" w:rsidTr="00A07A0A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E95E2" w14:textId="77777777" w:rsidR="00577A78" w:rsidRPr="002F5113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eastAsia="Helvetica" w:cs="Times New Roman"/>
                <w:color w:val="000000"/>
                <w:sz w:val="22"/>
                <w:lang w:val="en-US"/>
              </w:rPr>
              <w:t>Polity (sq)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8C084" w14:textId="6F543C96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E5162" w14:textId="194DE423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4F6BE" w14:textId="17B323F2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A9E34" w14:textId="3E76B12D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42029" w14:textId="134FE33E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2949E" w14:textId="3A418DD1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C556E" w14:textId="5A90AE42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6233E" w14:textId="12A2128C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-0.01</w:t>
            </w:r>
          </w:p>
        </w:tc>
      </w:tr>
      <w:tr w:rsidR="00577A78" w:rsidRPr="00577A78" w14:paraId="4FE2B072" w14:textId="77777777" w:rsidTr="00A07A0A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3F771" w14:textId="77777777" w:rsidR="00577A78" w:rsidRPr="001047F7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890A1" w14:textId="2CBF8C66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(-2.35)**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13D84" w14:textId="1FAAC618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(-2.6)**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1C04E" w14:textId="08125040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(-2.32)*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B3186" w14:textId="4EDC0A27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(-2.5)**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7BC91" w14:textId="0C441893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(-3.26)***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9ED2E" w14:textId="6C943F0C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(-4.23)***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CC3C4" w14:textId="53B90FD2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(-3.23)***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F3009" w14:textId="1C276F9E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(-4.08)***</w:t>
            </w:r>
          </w:p>
        </w:tc>
      </w:tr>
      <w:tr w:rsidR="00577A78" w:rsidRPr="00577A78" w14:paraId="58612F43" w14:textId="77777777" w:rsidTr="00A07A0A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7E3D3" w14:textId="4FA2A8FC" w:rsidR="00577A78" w:rsidRPr="002F5113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eastAsia="Helvetica" w:cs="Times New Roman"/>
                <w:color w:val="000000"/>
                <w:sz w:val="22"/>
                <w:lang w:val="en-US"/>
              </w:rPr>
              <w:t>Regime durability</w:t>
            </w:r>
            <w:r w:rsidR="00B32C08">
              <w:rPr>
                <w:rFonts w:eastAsia="Helvetica" w:cs="Times New Roman"/>
                <w:color w:val="000000"/>
                <w:sz w:val="22"/>
                <w:lang w:val="en-US"/>
              </w:rPr>
              <w:t>, ln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BEA65" w14:textId="6B28F505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C0F3E" w14:textId="24453230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17C3D" w14:textId="44858CE9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80B47" w14:textId="6D01D89F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55FDC" w14:textId="05AA6421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B5630" w14:textId="677FF479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62C0E" w14:textId="57938C66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4ECE7" w14:textId="4715A3F3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-0.04</w:t>
            </w:r>
          </w:p>
        </w:tc>
      </w:tr>
      <w:tr w:rsidR="00577A78" w:rsidRPr="00577A78" w14:paraId="623011F1" w14:textId="77777777" w:rsidTr="00A07A0A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EF2E9" w14:textId="77777777" w:rsidR="00577A78" w:rsidRPr="001047F7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998C2" w14:textId="31D905C7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(-0.6)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60238" w14:textId="67050974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(-0.44)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023F0" w14:textId="43C26C45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(-0.58)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FA94C" w14:textId="34331C8F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(-0.43)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E8CCB" w14:textId="27CAEB82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(-0.73)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C2CD3" w14:textId="2069B976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(-0.58)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075C4" w14:textId="004F50BF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(-0.73)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2B53F" w14:textId="184DC2FA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(-0.58)</w:t>
            </w:r>
          </w:p>
        </w:tc>
      </w:tr>
      <w:tr w:rsidR="00577A78" w:rsidRPr="00577A78" w14:paraId="5F8F83A2" w14:textId="77777777" w:rsidTr="00A07A0A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D4582" w14:textId="77777777" w:rsidR="00577A78" w:rsidRPr="001047F7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eastAsia="Helvetica" w:cs="Times New Roman"/>
                <w:color w:val="000000"/>
                <w:sz w:val="22"/>
                <w:lang w:val="en-US"/>
              </w:rPr>
              <w:t>Urbanization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068D7" w14:textId="2D10A409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2C710" w14:textId="123B0B7C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B8B2E" w14:textId="37C8246B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7196F" w14:textId="2A54A57F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79A3C" w14:textId="034EB6B5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49A48" w14:textId="616BF1B5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959F" w14:textId="6AAA4912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BC9F4" w14:textId="30D05D7E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577A78" w:rsidRPr="00577A78" w14:paraId="04464BF1" w14:textId="77777777" w:rsidTr="00A07A0A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9D092" w14:textId="77777777" w:rsidR="00577A78" w:rsidRPr="001047F7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3280A" w14:textId="35451D01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(0.64)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3C78C" w14:textId="56BD011E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(0.59)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B1D61" w14:textId="67CE1823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(0.71)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2CBB5" w14:textId="36BB64FA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(0.73)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DC4CE" w14:textId="5E0FA96F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(-0.58)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3FBD0" w14:textId="57334F11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(-0.75)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02065" w14:textId="0231C275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(-0.47)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7A79E" w14:textId="24C83508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(-0.62)</w:t>
            </w:r>
          </w:p>
        </w:tc>
      </w:tr>
      <w:tr w:rsidR="00577A78" w:rsidRPr="00577A78" w14:paraId="360E0D75" w14:textId="77777777" w:rsidTr="00A07A0A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C137A" w14:textId="77777777" w:rsidR="00577A78" w:rsidRPr="002F5113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eastAsia="Helvetica" w:cs="Times New Roman"/>
                <w:color w:val="000000"/>
                <w:sz w:val="22"/>
                <w:lang w:val="en-US"/>
              </w:rPr>
              <w:t>Corruption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3E843" w14:textId="3FB4D1B0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1.47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25456" w14:textId="3F057C5E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1.57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A6D23" w14:textId="7F97C758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1.42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9C856" w14:textId="0D8AA49D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1.51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73EF2" w14:textId="32C872C3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68A21" w14:textId="1D9C1F71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DF804" w14:textId="0233D202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09E1A" w14:textId="05B013C7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0.88</w:t>
            </w:r>
          </w:p>
        </w:tc>
      </w:tr>
      <w:tr w:rsidR="00577A78" w:rsidRPr="00577A78" w14:paraId="5ECA93BB" w14:textId="77777777" w:rsidTr="00A07A0A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71C51" w14:textId="77777777" w:rsidR="00577A78" w:rsidRPr="001047F7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62EF5" w14:textId="6CCE65A8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(2.95)**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45D8B" w14:textId="4A9428BD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(3.56)***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596F4" w14:textId="5D6FC48F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(2.85)**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CF96A" w14:textId="2B66D17E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(3.46)***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92B21" w14:textId="15ED46CA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(3.05)**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85FBD" w14:textId="78CA7522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(3.17)***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DABD3" w14:textId="3A4E11C0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(2.84)**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5B982" w14:textId="3F10B5E6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(2.97)**</w:t>
            </w:r>
          </w:p>
        </w:tc>
      </w:tr>
      <w:tr w:rsidR="00577A78" w:rsidRPr="00577A78" w14:paraId="158B539D" w14:textId="77777777" w:rsidTr="00A07A0A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24F2B" w14:textId="77777777" w:rsidR="00577A78" w:rsidRPr="001047F7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eastAsia="Helvetica" w:cs="Times New Roman"/>
                <w:color w:val="000000"/>
                <w:sz w:val="22"/>
                <w:lang w:val="en-US"/>
              </w:rPr>
              <w:t>Education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3DD1E" w14:textId="66B556FD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6A017" w14:textId="39673B00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8642E" w14:textId="26595E61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7F9AE" w14:textId="3C8D9E37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227D5" w14:textId="0D4D7C04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EE2E2" w14:textId="159AD283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2CB6C" w14:textId="345B5CF8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2C77A" w14:textId="1A1C0505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0.08</w:t>
            </w:r>
          </w:p>
        </w:tc>
      </w:tr>
      <w:tr w:rsidR="00577A78" w:rsidRPr="00577A78" w14:paraId="61A9D673" w14:textId="77777777" w:rsidTr="00A07A0A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35BAB" w14:textId="77777777" w:rsidR="00577A78" w:rsidRPr="001047F7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07A5A" w14:textId="580B8AEF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(1.79)*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29042" w14:textId="54BBBC7E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(2.36)**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50B59" w14:textId="127D0E3E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(1.69)*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100DD" w14:textId="002A0B54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(2.22)*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B0C93" w14:textId="169EAFD3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(2.47)**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E71FE" w14:textId="0CF348B1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(2.24)*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7EA3A" w14:textId="4CB8022F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(2.36)**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17B73" w14:textId="7BA22CBE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(2.16)*</w:t>
            </w:r>
          </w:p>
        </w:tc>
      </w:tr>
      <w:tr w:rsidR="00577A78" w:rsidRPr="00577A78" w14:paraId="3273A91B" w14:textId="77777777" w:rsidTr="00A07A0A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4D44A" w14:textId="77777777" w:rsidR="00577A78" w:rsidRPr="002F5113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eastAsia="Helvetica" w:cs="Times New Roman"/>
                <w:color w:val="000000"/>
                <w:sz w:val="22"/>
                <w:lang w:val="en-US"/>
              </w:rPr>
              <w:t>Oil rent pc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104E8" w14:textId="40B0D20B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612F1" w14:textId="1A15C952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19F84" w14:textId="347A2B5D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13704" w14:textId="643623C6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84070" w14:textId="118A0B81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CD411" w14:textId="19A55AD8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05FAD" w14:textId="07C367EF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33EFA" w14:textId="647966A0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-0.02</w:t>
            </w:r>
          </w:p>
        </w:tc>
      </w:tr>
      <w:tr w:rsidR="00577A78" w:rsidRPr="00577A78" w14:paraId="4B874B92" w14:textId="77777777" w:rsidTr="00A07A0A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B31B3" w14:textId="77777777" w:rsidR="00577A78" w:rsidRPr="001047F7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E5F0C" w14:textId="0E667CAE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(-1.32)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0F99E" w14:textId="354E3F7D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(-2.36)**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50D53" w14:textId="46D672F4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(-1.41)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CE45A" w14:textId="52916AC0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(-2.47)**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0F0D8" w14:textId="6AAC8226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(-0.57)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43F06" w14:textId="4F90BE5A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(-1.24)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2A322" w14:textId="72874F44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(-0.66)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91855" w14:textId="272C42F1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(-1.35)</w:t>
            </w:r>
          </w:p>
        </w:tc>
      </w:tr>
      <w:tr w:rsidR="00577A78" w:rsidRPr="00577A78" w14:paraId="6614E4F4" w14:textId="77777777" w:rsidTr="00A07A0A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AFFF3" w14:textId="77777777" w:rsidR="00577A78" w:rsidRPr="002F5113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eastAsia="Helvetica" w:cs="Times New Roman"/>
                <w:color w:val="000000"/>
                <w:sz w:val="22"/>
                <w:lang w:val="en-US"/>
              </w:rPr>
              <w:t>Rev. in region (t)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9D3EF" w14:textId="6BD5C8D6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1.43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45CAD" w14:textId="5F9E8CDB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1.31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4456C" w14:textId="598AE798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1.44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7FB59" w14:textId="74448FD6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29199" w14:textId="3F251BA3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8759F" w14:textId="1BAE25DC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522D6" w14:textId="2B0A1C41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64FEB" w14:textId="6E3FF104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0.74</w:t>
            </w:r>
          </w:p>
        </w:tc>
      </w:tr>
      <w:tr w:rsidR="00577A78" w:rsidRPr="00577A78" w14:paraId="03A23657" w14:textId="77777777" w:rsidTr="00A07A0A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044C6" w14:textId="77777777" w:rsidR="00577A78" w:rsidRPr="001047F7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B3B7F" w14:textId="07B44F5E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(6.95)***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62943" w14:textId="0B6F62B8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(7.25)***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9DD09" w14:textId="49ACBBC7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(7)***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184A6" w14:textId="30E26EE1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(7.37)***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AC11A" w14:textId="0463F801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(3.78)***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ED264" w14:textId="1F1F5CBB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(5.08)***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A3F42" w14:textId="3E818379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(3.86)***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9CDA0" w14:textId="7C40B759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(5.18)***</w:t>
            </w:r>
          </w:p>
        </w:tc>
      </w:tr>
      <w:tr w:rsidR="00577A78" w:rsidRPr="00577A78" w14:paraId="5F7CAA73" w14:textId="77777777" w:rsidTr="00A07A0A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B5876" w14:textId="77777777" w:rsidR="00577A78" w:rsidRPr="001047F7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eastAsia="Helvetica" w:cs="Times New Roman"/>
                <w:color w:val="000000"/>
                <w:sz w:val="22"/>
                <w:lang w:val="en-US"/>
              </w:rPr>
              <w:t>Rev. in region (t-1)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D6AD4" w14:textId="3B054AA8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81730" w14:textId="0F69BEAE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E7F6A" w14:textId="2A430734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AE81E" w14:textId="6087C742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77BE0" w14:textId="56225327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803F6" w14:textId="206EE602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CC810" w14:textId="4F51DFAE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3E387" w14:textId="5B0C6038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0.58</w:t>
            </w:r>
          </w:p>
        </w:tc>
      </w:tr>
      <w:tr w:rsidR="00577A78" w:rsidRPr="00577A78" w14:paraId="7961D783" w14:textId="77777777" w:rsidTr="00A07A0A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3FA15" w14:textId="77777777" w:rsidR="00577A78" w:rsidRPr="001047F7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DDE95" w14:textId="59E9F37C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(2.87)**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0C3A3" w14:textId="3FD08272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(2.96)**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DFEF5" w14:textId="6DFB4179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(2.89)**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AE66E" w14:textId="6C60DD43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(3.01)**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6D33D" w14:textId="5778A39D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(3.01)**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2BDB9" w14:textId="39ED8FF3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(3.92)***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557FF" w14:textId="5CC25913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(3.07)**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D99CB" w14:textId="7F308C2E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(3.94)***</w:t>
            </w:r>
          </w:p>
        </w:tc>
      </w:tr>
      <w:tr w:rsidR="00577A78" w:rsidRPr="00577A78" w14:paraId="5C75F8E8" w14:textId="77777777" w:rsidTr="00A07A0A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5A378" w14:textId="77777777" w:rsidR="00577A78" w:rsidRPr="002F5113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eastAsia="Helvetica" w:cs="Times New Roman"/>
                <w:color w:val="000000"/>
                <w:sz w:val="22"/>
                <w:lang w:val="en-US"/>
              </w:rPr>
              <w:t>Rev. in the past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CF535" w14:textId="0AE46367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7B816" w14:textId="29D08CDF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E08EC" w14:textId="185F262E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12E9" w14:textId="19ACA143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751ED" w14:textId="0E48A591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EF6C6" w14:textId="04DA82D4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DBF35" w14:textId="35114CE4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D0D59" w14:textId="1AE24205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0.16</w:t>
            </w:r>
          </w:p>
        </w:tc>
      </w:tr>
      <w:tr w:rsidR="00577A78" w:rsidRPr="00577A78" w14:paraId="4393B52C" w14:textId="77777777" w:rsidTr="00A07A0A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AB380" w14:textId="77777777" w:rsidR="00577A78" w:rsidRPr="001047F7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4F976" w14:textId="51C02FAD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(2.82)**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2F40B" w14:textId="5FB729E6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(4.07)***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90B1C" w14:textId="7935890C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(2.64)**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C0518" w14:textId="0B6DC240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(3.81)***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C2DFB" w14:textId="01D2B7AB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(2.39)**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CBBDF" w14:textId="2F424887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(3.87)***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00AA3" w14:textId="1F073AB3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(2.08)*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50AFE" w14:textId="53DC150D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(3.35)***</w:t>
            </w:r>
          </w:p>
        </w:tc>
      </w:tr>
      <w:tr w:rsidR="00577A78" w:rsidRPr="00577A78" w14:paraId="173A5DBB" w14:textId="77777777" w:rsidTr="00A07A0A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A3F6A" w14:textId="77777777" w:rsidR="00577A78" w:rsidRPr="002F5113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eastAsia="Helvetica" w:cs="Times New Roman"/>
                <w:color w:val="000000"/>
                <w:sz w:val="22"/>
                <w:lang w:val="en-US"/>
              </w:rPr>
              <w:t>Economic growth, 5-year average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F8498" w14:textId="1E96D051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EB92C" w14:textId="3125E43E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1.06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2B3DD" w14:textId="67301DDA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AE7D2" w14:textId="6D341685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C4885" w14:textId="74244C5B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-1.23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6D901" w14:textId="16DFC979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-0.16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FC82B" w14:textId="2BD513D6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-1.68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ED410" w14:textId="08AFB213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-0.96</w:t>
            </w:r>
          </w:p>
        </w:tc>
      </w:tr>
      <w:tr w:rsidR="00577A78" w:rsidRPr="00577A78" w14:paraId="357E8185" w14:textId="77777777" w:rsidTr="007935B8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A8269" w14:textId="77777777" w:rsidR="00577A78" w:rsidRPr="001047F7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C7D1" w14:textId="1783BAC8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(0.23)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37651" w14:textId="4B9D12BD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(0.73)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ECFA6" w14:textId="59A16E01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(&lt;0.001)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1056B" w14:textId="7FFBF571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(0.29)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9CC4A" w14:textId="330D94D0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(-0.59)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EF472" w14:textId="06AC231F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(-0.1)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490C8" w14:textId="74B9996D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(-0.81)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31A8E" w14:textId="21C7E00E" w:rsidR="00577A78" w:rsidRPr="00577A78" w:rsidRDefault="00577A78" w:rsidP="00577A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577A78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(-0.62)</w:t>
            </w:r>
          </w:p>
        </w:tc>
      </w:tr>
      <w:tr w:rsidR="007935B8" w:rsidRPr="007935B8" w14:paraId="301F4474" w14:textId="77777777" w:rsidTr="007935B8">
        <w:trPr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DDD4C" w14:textId="79AADA0A" w:rsidR="007935B8" w:rsidRPr="007935B8" w:rsidRDefault="007935B8" w:rsidP="007935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left"/>
              <w:rPr>
                <w:rFonts w:cs="Times New Roman"/>
                <w:szCs w:val="24"/>
              </w:rPr>
            </w:pPr>
            <w:r w:rsidRPr="007935B8">
              <w:rPr>
                <w:rFonts w:cs="Times New Roman"/>
                <w:szCs w:val="24"/>
                <w:lang w:val="en-US"/>
              </w:rPr>
              <w:lastRenderedPageBreak/>
              <w:t>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F82D9" w14:textId="2A7BB2E3" w:rsidR="007935B8" w:rsidRPr="007935B8" w:rsidRDefault="007935B8" w:rsidP="007935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7935B8">
              <w:rPr>
                <w:rFonts w:eastAsia="Helvetica" w:cs="Times New Roman"/>
                <w:color w:val="000000"/>
                <w:sz w:val="20"/>
                <w:szCs w:val="20"/>
                <w:lang w:val="en-US"/>
              </w:rPr>
              <w:t>6202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BC1A8" w14:textId="668A6EAD" w:rsidR="007935B8" w:rsidRPr="007935B8" w:rsidRDefault="007935B8" w:rsidP="007935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7935B8">
              <w:rPr>
                <w:rFonts w:cs="Times New Roman"/>
                <w:sz w:val="20"/>
                <w:szCs w:val="20"/>
                <w:lang w:val="en-US"/>
              </w:rPr>
              <w:t>9 667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1296A" w14:textId="67C4D63C" w:rsidR="007935B8" w:rsidRPr="007935B8" w:rsidRDefault="007935B8" w:rsidP="007935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7935B8">
              <w:rPr>
                <w:rFonts w:eastAsia="Helvetica" w:cs="Times New Roman"/>
                <w:color w:val="000000"/>
                <w:sz w:val="20"/>
                <w:szCs w:val="20"/>
                <w:lang w:val="en-US"/>
              </w:rPr>
              <w:t>6202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EAA1D" w14:textId="055BB183" w:rsidR="007935B8" w:rsidRPr="007935B8" w:rsidRDefault="007935B8" w:rsidP="007935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7935B8">
              <w:rPr>
                <w:rFonts w:cs="Times New Roman"/>
                <w:sz w:val="20"/>
                <w:szCs w:val="20"/>
                <w:lang w:val="en-US"/>
              </w:rPr>
              <w:t>9 667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0F5DF" w14:textId="29B5AFC7" w:rsidR="007935B8" w:rsidRPr="007935B8" w:rsidRDefault="007935B8" w:rsidP="007935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7935B8">
              <w:rPr>
                <w:rFonts w:eastAsia="Helvetica" w:cs="Times New Roman"/>
                <w:color w:val="000000"/>
                <w:sz w:val="20"/>
                <w:szCs w:val="20"/>
                <w:lang w:val="en-US"/>
              </w:rPr>
              <w:t>6202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555F6" w14:textId="3A25402F" w:rsidR="007935B8" w:rsidRPr="007935B8" w:rsidRDefault="007935B8" w:rsidP="007935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7935B8">
              <w:rPr>
                <w:rFonts w:cs="Times New Roman"/>
                <w:sz w:val="20"/>
                <w:szCs w:val="20"/>
                <w:lang w:val="en-US"/>
              </w:rPr>
              <w:t>9 667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F920F" w14:textId="421C0B37" w:rsidR="007935B8" w:rsidRPr="007935B8" w:rsidRDefault="007935B8" w:rsidP="007935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7935B8">
              <w:rPr>
                <w:rFonts w:eastAsia="Helvetica" w:cs="Times New Roman"/>
                <w:color w:val="000000"/>
                <w:sz w:val="20"/>
                <w:szCs w:val="20"/>
                <w:lang w:val="en-US"/>
              </w:rPr>
              <w:t>6202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34587" w14:textId="48E7030A" w:rsidR="007935B8" w:rsidRPr="007935B8" w:rsidRDefault="007935B8" w:rsidP="007935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7935B8">
              <w:rPr>
                <w:rFonts w:cs="Times New Roman"/>
                <w:sz w:val="20"/>
                <w:szCs w:val="20"/>
                <w:lang w:val="en-US"/>
              </w:rPr>
              <w:t>9 667</w:t>
            </w:r>
          </w:p>
        </w:tc>
      </w:tr>
      <w:tr w:rsidR="00577A78" w:rsidRPr="007935B8" w14:paraId="74A3EA96" w14:textId="77777777" w:rsidTr="007935B8">
        <w:trPr>
          <w:jc w:val="center"/>
        </w:trPr>
        <w:tc>
          <w:tcPr>
            <w:tcW w:w="10207" w:type="dxa"/>
            <w:gridSpan w:val="9"/>
            <w:tcBorders>
              <w:top w:val="single" w:sz="4" w:space="0" w:color="auto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8D2D" w14:textId="7C9B5962" w:rsidR="00577A78" w:rsidRPr="007C4582" w:rsidRDefault="00577A78" w:rsidP="007870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rPr>
                <w:rFonts w:cs="Times New Roman"/>
                <w:sz w:val="20"/>
                <w:szCs w:val="20"/>
                <w:lang w:val="en-US"/>
              </w:rPr>
            </w:pPr>
            <w:r w:rsidRPr="007C4582">
              <w:rPr>
                <w:rFonts w:eastAsia="Helvetica" w:cs="Times New Roman"/>
                <w:color w:val="000000"/>
                <w:sz w:val="20"/>
                <w:szCs w:val="20"/>
                <w:lang w:val="en-US"/>
              </w:rPr>
              <w:t>Note: ***p&lt;0.001, **p&lt;0.01, *p&lt;0.05</w:t>
            </w:r>
            <w:r>
              <w:rPr>
                <w:rFonts w:eastAsia="Helvetica" w:cs="Times New Roman"/>
                <w:color w:val="000000"/>
                <w:sz w:val="20"/>
                <w:szCs w:val="20"/>
                <w:lang w:val="en-US"/>
              </w:rPr>
              <w:t xml:space="preserve">; all predictors are at t-1 except revolution in the region and revolutions in the past; </w:t>
            </w:r>
            <w:r w:rsidRPr="007C4582">
              <w:rPr>
                <w:rFonts w:eastAsia="Helvetica" w:cs="Times New Roman"/>
                <w:color w:val="000000"/>
                <w:sz w:val="20"/>
                <w:szCs w:val="20"/>
                <w:lang w:val="en-US"/>
              </w:rPr>
              <w:t xml:space="preserve">z-statistics are in parenthesis; </w:t>
            </w:r>
            <w:r>
              <w:rPr>
                <w:rFonts w:eastAsia="Helvetica" w:cs="Times New Roman"/>
                <w:color w:val="000000"/>
                <w:sz w:val="20"/>
                <w:szCs w:val="20"/>
                <w:lang w:val="en-US"/>
              </w:rPr>
              <w:t>region</w:t>
            </w:r>
            <w:r w:rsidRPr="007C4582">
              <w:rPr>
                <w:rFonts w:eastAsia="Helvetica" w:cs="Times New Roman"/>
                <w:color w:val="000000"/>
                <w:sz w:val="20"/>
                <w:szCs w:val="20"/>
                <w:lang w:val="en-US"/>
              </w:rPr>
              <w:t xml:space="preserve"> fixed effects are included in all models; standard errors are clustered on countries; models with multiple imputations</w:t>
            </w:r>
            <w:r>
              <w:rPr>
                <w:rFonts w:eastAsia="Helvetica" w:cs="Times New Roman"/>
                <w:color w:val="000000"/>
                <w:sz w:val="20"/>
                <w:szCs w:val="20"/>
                <w:lang w:val="en-US"/>
              </w:rPr>
              <w:t xml:space="preserve"> (imp)</w:t>
            </w:r>
            <w:r w:rsidRPr="007C4582">
              <w:rPr>
                <w:rFonts w:eastAsia="Helvetica" w:cs="Times New Roman"/>
                <w:color w:val="000000"/>
                <w:sz w:val="20"/>
                <w:szCs w:val="20"/>
                <w:lang w:val="en-US"/>
              </w:rPr>
              <w:t xml:space="preserve"> are based on </w:t>
            </w:r>
            <w:r>
              <w:rPr>
                <w:rFonts w:eastAsia="Helvetica" w:cs="Times New Roman"/>
                <w:color w:val="000000"/>
                <w:sz w:val="20"/>
                <w:szCs w:val="20"/>
                <w:lang w:val="en-US"/>
              </w:rPr>
              <w:t>50</w:t>
            </w:r>
            <w:r w:rsidRPr="007C4582">
              <w:rPr>
                <w:rFonts w:eastAsia="Helvetica" w:cs="Times New Roman"/>
                <w:color w:val="000000"/>
                <w:sz w:val="20"/>
                <w:szCs w:val="20"/>
                <w:lang w:val="en-US"/>
              </w:rPr>
              <w:t xml:space="preserve"> imputed models</w:t>
            </w:r>
            <w:r>
              <w:rPr>
                <w:rFonts w:eastAsia="Helvetica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</w:tr>
    </w:tbl>
    <w:p w14:paraId="269B7C73" w14:textId="77777777" w:rsidR="00187E88" w:rsidRPr="00187E88" w:rsidRDefault="00187E88" w:rsidP="00187E88">
      <w:pPr>
        <w:rPr>
          <w:lang w:val="en-US"/>
        </w:rPr>
      </w:pPr>
    </w:p>
    <w:p w14:paraId="5C66FDA5" w14:textId="76FC4811" w:rsidR="006C7916" w:rsidRDefault="00187E88" w:rsidP="00D94A31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65AB16" wp14:editId="0832BA35">
            <wp:extent cx="5940425" cy="2970530"/>
            <wp:effectExtent l="0" t="0" r="3175" b="1270"/>
            <wp:docPr id="959606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06418" name="Рисунок 9596064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D551" w14:textId="298F1E3A" w:rsidR="00187E88" w:rsidRDefault="00853FC6" w:rsidP="00853FC6">
      <w:pPr>
        <w:spacing w:line="240" w:lineRule="auto"/>
        <w:rPr>
          <w:lang w:val="en-US"/>
        </w:rPr>
      </w:pPr>
      <w:r>
        <w:rPr>
          <w:lang w:val="en-US"/>
        </w:rPr>
        <w:t xml:space="preserve">Figure 1. Marginal effect of GDP per capita conditional on its values. Note: red line shows models estimated on original sample with listwise deletion from Table 1, blue line shows models estimated on 50 imputed datasets; 95% CI is plotted.   </w:t>
      </w:r>
    </w:p>
    <w:p w14:paraId="509BF0F9" w14:textId="77777777" w:rsidR="00853FC6" w:rsidRDefault="00853FC6" w:rsidP="00853FC6">
      <w:pPr>
        <w:spacing w:line="240" w:lineRule="auto"/>
        <w:rPr>
          <w:lang w:val="en-US"/>
        </w:rPr>
      </w:pPr>
    </w:p>
    <w:p w14:paraId="4DCAC093" w14:textId="101185E3" w:rsidR="00187E88" w:rsidRDefault="001B56F0" w:rsidP="00D94A31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4A0217" wp14:editId="13B9BE1E">
            <wp:extent cx="5940425" cy="2970530"/>
            <wp:effectExtent l="0" t="0" r="3175" b="1270"/>
            <wp:docPr id="801950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50823" name="Рисунок 8019508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3015" w14:textId="77777777" w:rsidR="00853FC6" w:rsidRDefault="00853FC6" w:rsidP="00853FC6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Figure 2. Adjusted predictions of probability of unarmed conditional on GDP per capita. Note: red line shows models estimated on original sample with listwise deletion from Table 1, blue line shows models estimated on 50 imputed datasets; 95% CI is plotted.   </w:t>
      </w:r>
    </w:p>
    <w:p w14:paraId="1A56F2A4" w14:textId="77777777" w:rsidR="00853FC6" w:rsidRPr="006C7916" w:rsidRDefault="00853FC6" w:rsidP="006C7916">
      <w:pPr>
        <w:rPr>
          <w:lang w:val="en-US"/>
        </w:rPr>
      </w:pPr>
    </w:p>
    <w:p w14:paraId="7DD8E714" w14:textId="493822A8" w:rsidR="002A6EE8" w:rsidRPr="002A6EE8" w:rsidRDefault="002A6EE8" w:rsidP="002A6EE8">
      <w:pPr>
        <w:rPr>
          <w:lang w:val="en-US"/>
        </w:rPr>
      </w:pPr>
    </w:p>
    <w:sectPr w:rsidR="002A6EE8" w:rsidRPr="002A6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5D416" w14:textId="77777777" w:rsidR="00AA41F3" w:rsidRDefault="00AA41F3" w:rsidP="003C5188">
      <w:pPr>
        <w:spacing w:after="0" w:line="240" w:lineRule="auto"/>
      </w:pPr>
      <w:r>
        <w:separator/>
      </w:r>
    </w:p>
  </w:endnote>
  <w:endnote w:type="continuationSeparator" w:id="0">
    <w:p w14:paraId="566B27AF" w14:textId="77777777" w:rsidR="00AA41F3" w:rsidRDefault="00AA41F3" w:rsidP="003C5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22B24" w14:textId="77777777" w:rsidR="00AA41F3" w:rsidRDefault="00AA41F3" w:rsidP="003C5188">
      <w:pPr>
        <w:spacing w:after="0" w:line="240" w:lineRule="auto"/>
      </w:pPr>
      <w:r>
        <w:separator/>
      </w:r>
    </w:p>
  </w:footnote>
  <w:footnote w:type="continuationSeparator" w:id="0">
    <w:p w14:paraId="589949B5" w14:textId="77777777" w:rsidR="00AA41F3" w:rsidRDefault="00AA41F3" w:rsidP="003C5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E1B9E"/>
    <w:multiLevelType w:val="hybridMultilevel"/>
    <w:tmpl w:val="FDECD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A3CC0"/>
    <w:multiLevelType w:val="hybridMultilevel"/>
    <w:tmpl w:val="C7709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844399">
    <w:abstractNumId w:val="0"/>
  </w:num>
  <w:num w:numId="2" w16cid:durableId="1628504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FAA"/>
    <w:rsid w:val="00024763"/>
    <w:rsid w:val="00027FC4"/>
    <w:rsid w:val="00046C10"/>
    <w:rsid w:val="000518BC"/>
    <w:rsid w:val="00052C27"/>
    <w:rsid w:val="00053B65"/>
    <w:rsid w:val="00054BA8"/>
    <w:rsid w:val="00070CED"/>
    <w:rsid w:val="00074AA5"/>
    <w:rsid w:val="00077FBF"/>
    <w:rsid w:val="000811CC"/>
    <w:rsid w:val="000A2259"/>
    <w:rsid w:val="000A53D1"/>
    <w:rsid w:val="000A72A2"/>
    <w:rsid w:val="000C0FCA"/>
    <w:rsid w:val="000C68FC"/>
    <w:rsid w:val="000D20FB"/>
    <w:rsid w:val="000D37F7"/>
    <w:rsid w:val="000E18FB"/>
    <w:rsid w:val="00117F0E"/>
    <w:rsid w:val="00122E85"/>
    <w:rsid w:val="00133B04"/>
    <w:rsid w:val="00137F4A"/>
    <w:rsid w:val="001500E8"/>
    <w:rsid w:val="001512E6"/>
    <w:rsid w:val="00151651"/>
    <w:rsid w:val="00152CE3"/>
    <w:rsid w:val="00162058"/>
    <w:rsid w:val="0016302C"/>
    <w:rsid w:val="00187E88"/>
    <w:rsid w:val="001916C7"/>
    <w:rsid w:val="0019269A"/>
    <w:rsid w:val="0019439D"/>
    <w:rsid w:val="001952E6"/>
    <w:rsid w:val="001B3BFC"/>
    <w:rsid w:val="001B56F0"/>
    <w:rsid w:val="001C3A08"/>
    <w:rsid w:val="001D768E"/>
    <w:rsid w:val="001E2384"/>
    <w:rsid w:val="001E4003"/>
    <w:rsid w:val="002330BD"/>
    <w:rsid w:val="00235A50"/>
    <w:rsid w:val="002414E0"/>
    <w:rsid w:val="00247ADA"/>
    <w:rsid w:val="002717D6"/>
    <w:rsid w:val="00295C55"/>
    <w:rsid w:val="002966BF"/>
    <w:rsid w:val="002A664D"/>
    <w:rsid w:val="002A6EE8"/>
    <w:rsid w:val="002B0AF0"/>
    <w:rsid w:val="002C4EB9"/>
    <w:rsid w:val="002C788D"/>
    <w:rsid w:val="002E0AAF"/>
    <w:rsid w:val="002F19DB"/>
    <w:rsid w:val="002F4000"/>
    <w:rsid w:val="00307C78"/>
    <w:rsid w:val="0032628F"/>
    <w:rsid w:val="0034614E"/>
    <w:rsid w:val="00362587"/>
    <w:rsid w:val="00370B51"/>
    <w:rsid w:val="003833A6"/>
    <w:rsid w:val="003857B6"/>
    <w:rsid w:val="00392D5F"/>
    <w:rsid w:val="003A50BF"/>
    <w:rsid w:val="003C5188"/>
    <w:rsid w:val="003D5F15"/>
    <w:rsid w:val="003E24CF"/>
    <w:rsid w:val="003E2A48"/>
    <w:rsid w:val="003F12AD"/>
    <w:rsid w:val="0043249F"/>
    <w:rsid w:val="00433127"/>
    <w:rsid w:val="00435073"/>
    <w:rsid w:val="004351D7"/>
    <w:rsid w:val="004368F7"/>
    <w:rsid w:val="00445DC4"/>
    <w:rsid w:val="00452038"/>
    <w:rsid w:val="0046026A"/>
    <w:rsid w:val="00464C0C"/>
    <w:rsid w:val="00466DB4"/>
    <w:rsid w:val="0047686B"/>
    <w:rsid w:val="00481BB8"/>
    <w:rsid w:val="004937F7"/>
    <w:rsid w:val="00495CC6"/>
    <w:rsid w:val="004A1211"/>
    <w:rsid w:val="004A2518"/>
    <w:rsid w:val="004C27DD"/>
    <w:rsid w:val="004C39E9"/>
    <w:rsid w:val="004C77DB"/>
    <w:rsid w:val="00512387"/>
    <w:rsid w:val="00512C59"/>
    <w:rsid w:val="00516762"/>
    <w:rsid w:val="00523417"/>
    <w:rsid w:val="00552A6A"/>
    <w:rsid w:val="005607AE"/>
    <w:rsid w:val="0056335E"/>
    <w:rsid w:val="00574471"/>
    <w:rsid w:val="00577A78"/>
    <w:rsid w:val="00584360"/>
    <w:rsid w:val="00585291"/>
    <w:rsid w:val="005916E6"/>
    <w:rsid w:val="005A576F"/>
    <w:rsid w:val="005A5CAA"/>
    <w:rsid w:val="005A7893"/>
    <w:rsid w:val="005B6E03"/>
    <w:rsid w:val="005C7F04"/>
    <w:rsid w:val="005F5858"/>
    <w:rsid w:val="005F6227"/>
    <w:rsid w:val="006041DA"/>
    <w:rsid w:val="006223BD"/>
    <w:rsid w:val="00625681"/>
    <w:rsid w:val="006332A9"/>
    <w:rsid w:val="00645AB9"/>
    <w:rsid w:val="0066356C"/>
    <w:rsid w:val="006775F2"/>
    <w:rsid w:val="00694C46"/>
    <w:rsid w:val="006C7916"/>
    <w:rsid w:val="006D3A37"/>
    <w:rsid w:val="006E1627"/>
    <w:rsid w:val="006E5A02"/>
    <w:rsid w:val="006F5151"/>
    <w:rsid w:val="006F7214"/>
    <w:rsid w:val="00703C27"/>
    <w:rsid w:val="007050C4"/>
    <w:rsid w:val="00721916"/>
    <w:rsid w:val="007377E9"/>
    <w:rsid w:val="007434A8"/>
    <w:rsid w:val="007469B1"/>
    <w:rsid w:val="00754B49"/>
    <w:rsid w:val="00756A27"/>
    <w:rsid w:val="00784552"/>
    <w:rsid w:val="007904AF"/>
    <w:rsid w:val="0079067F"/>
    <w:rsid w:val="007935B8"/>
    <w:rsid w:val="00794145"/>
    <w:rsid w:val="007C0A65"/>
    <w:rsid w:val="007C43AF"/>
    <w:rsid w:val="007E016F"/>
    <w:rsid w:val="007E2076"/>
    <w:rsid w:val="007E43D1"/>
    <w:rsid w:val="007F4F3C"/>
    <w:rsid w:val="0080049A"/>
    <w:rsid w:val="008145C1"/>
    <w:rsid w:val="008473FF"/>
    <w:rsid w:val="0085366B"/>
    <w:rsid w:val="00853FC6"/>
    <w:rsid w:val="0085700F"/>
    <w:rsid w:val="0086095A"/>
    <w:rsid w:val="00875D05"/>
    <w:rsid w:val="00875E3F"/>
    <w:rsid w:val="00876EA1"/>
    <w:rsid w:val="00887B03"/>
    <w:rsid w:val="008A14EE"/>
    <w:rsid w:val="008D3FB9"/>
    <w:rsid w:val="008E4844"/>
    <w:rsid w:val="009077FD"/>
    <w:rsid w:val="00910460"/>
    <w:rsid w:val="00950E6C"/>
    <w:rsid w:val="00957101"/>
    <w:rsid w:val="00971F08"/>
    <w:rsid w:val="0097403E"/>
    <w:rsid w:val="00974239"/>
    <w:rsid w:val="00981061"/>
    <w:rsid w:val="00985F78"/>
    <w:rsid w:val="00994EF5"/>
    <w:rsid w:val="009A044A"/>
    <w:rsid w:val="009B3317"/>
    <w:rsid w:val="009C0FF5"/>
    <w:rsid w:val="009D36CD"/>
    <w:rsid w:val="009D3E56"/>
    <w:rsid w:val="009D4D3B"/>
    <w:rsid w:val="009E2A5E"/>
    <w:rsid w:val="009E7126"/>
    <w:rsid w:val="009F0374"/>
    <w:rsid w:val="00A00CC8"/>
    <w:rsid w:val="00A056F8"/>
    <w:rsid w:val="00A07A0A"/>
    <w:rsid w:val="00A24A7F"/>
    <w:rsid w:val="00A35628"/>
    <w:rsid w:val="00A44EAD"/>
    <w:rsid w:val="00A62786"/>
    <w:rsid w:val="00A65FFE"/>
    <w:rsid w:val="00A7614B"/>
    <w:rsid w:val="00A86FF1"/>
    <w:rsid w:val="00A96655"/>
    <w:rsid w:val="00AA2DB6"/>
    <w:rsid w:val="00AA41F3"/>
    <w:rsid w:val="00AC21F0"/>
    <w:rsid w:val="00AC4FB7"/>
    <w:rsid w:val="00AD4083"/>
    <w:rsid w:val="00AD5771"/>
    <w:rsid w:val="00AD6621"/>
    <w:rsid w:val="00B00F8E"/>
    <w:rsid w:val="00B068E7"/>
    <w:rsid w:val="00B2075F"/>
    <w:rsid w:val="00B2488D"/>
    <w:rsid w:val="00B3286F"/>
    <w:rsid w:val="00B32C08"/>
    <w:rsid w:val="00B37E0F"/>
    <w:rsid w:val="00B56094"/>
    <w:rsid w:val="00B7043D"/>
    <w:rsid w:val="00B712A3"/>
    <w:rsid w:val="00B73502"/>
    <w:rsid w:val="00B76052"/>
    <w:rsid w:val="00B92976"/>
    <w:rsid w:val="00BB018D"/>
    <w:rsid w:val="00C1432F"/>
    <w:rsid w:val="00C325CD"/>
    <w:rsid w:val="00C41A76"/>
    <w:rsid w:val="00C47C9B"/>
    <w:rsid w:val="00C51307"/>
    <w:rsid w:val="00C569FA"/>
    <w:rsid w:val="00C56D9E"/>
    <w:rsid w:val="00C57121"/>
    <w:rsid w:val="00C654DF"/>
    <w:rsid w:val="00C745C8"/>
    <w:rsid w:val="00C831F8"/>
    <w:rsid w:val="00C861D2"/>
    <w:rsid w:val="00C94F18"/>
    <w:rsid w:val="00C97F18"/>
    <w:rsid w:val="00CA2E8D"/>
    <w:rsid w:val="00CD4D5A"/>
    <w:rsid w:val="00CE25EC"/>
    <w:rsid w:val="00CE7483"/>
    <w:rsid w:val="00CF15CD"/>
    <w:rsid w:val="00CF627D"/>
    <w:rsid w:val="00D0342E"/>
    <w:rsid w:val="00D046FD"/>
    <w:rsid w:val="00D048EA"/>
    <w:rsid w:val="00D32F49"/>
    <w:rsid w:val="00D33982"/>
    <w:rsid w:val="00D34346"/>
    <w:rsid w:val="00D356DF"/>
    <w:rsid w:val="00D43558"/>
    <w:rsid w:val="00D436BF"/>
    <w:rsid w:val="00D468FA"/>
    <w:rsid w:val="00D51E2E"/>
    <w:rsid w:val="00D61D7E"/>
    <w:rsid w:val="00D63AC8"/>
    <w:rsid w:val="00D7687A"/>
    <w:rsid w:val="00D82243"/>
    <w:rsid w:val="00D87076"/>
    <w:rsid w:val="00D94A31"/>
    <w:rsid w:val="00D96461"/>
    <w:rsid w:val="00DA5C69"/>
    <w:rsid w:val="00DC65ED"/>
    <w:rsid w:val="00DD2C44"/>
    <w:rsid w:val="00DD42BA"/>
    <w:rsid w:val="00DE3E37"/>
    <w:rsid w:val="00DE533E"/>
    <w:rsid w:val="00DF19D9"/>
    <w:rsid w:val="00E25DE2"/>
    <w:rsid w:val="00E33378"/>
    <w:rsid w:val="00E570E4"/>
    <w:rsid w:val="00E629AE"/>
    <w:rsid w:val="00E654A7"/>
    <w:rsid w:val="00E70076"/>
    <w:rsid w:val="00E80FAA"/>
    <w:rsid w:val="00E84453"/>
    <w:rsid w:val="00EA4166"/>
    <w:rsid w:val="00EB13FE"/>
    <w:rsid w:val="00EB1D7C"/>
    <w:rsid w:val="00EB3A40"/>
    <w:rsid w:val="00EB6211"/>
    <w:rsid w:val="00EC71B1"/>
    <w:rsid w:val="00ED3B1B"/>
    <w:rsid w:val="00EF152F"/>
    <w:rsid w:val="00F03549"/>
    <w:rsid w:val="00F14318"/>
    <w:rsid w:val="00F158E3"/>
    <w:rsid w:val="00F2702C"/>
    <w:rsid w:val="00F3681C"/>
    <w:rsid w:val="00F730C3"/>
    <w:rsid w:val="00F9164F"/>
    <w:rsid w:val="00F91AB5"/>
    <w:rsid w:val="00F95B5D"/>
    <w:rsid w:val="00FB2F76"/>
    <w:rsid w:val="00FC0A74"/>
    <w:rsid w:val="00FC2FAD"/>
    <w:rsid w:val="00FC3D32"/>
    <w:rsid w:val="00FC7119"/>
    <w:rsid w:val="00FD38A8"/>
    <w:rsid w:val="00FE7A40"/>
    <w:rsid w:val="00FF1B18"/>
    <w:rsid w:val="00FF1F98"/>
    <w:rsid w:val="00F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6AFF1B"/>
  <w15:chartTrackingRefBased/>
  <w15:docId w15:val="{D625E768-BF10-4964-9CA2-F765B5E0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МОЙ"/>
    <w:qFormat/>
    <w:rsid w:val="00A7614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aliases w:val="Заголовок вкр"/>
    <w:basedOn w:val="a"/>
    <w:next w:val="a"/>
    <w:link w:val="10"/>
    <w:autoRedefine/>
    <w:uiPriority w:val="9"/>
    <w:qFormat/>
    <w:rsid w:val="002E0AAF"/>
    <w:pPr>
      <w:keepNext/>
      <w:keepLines/>
      <w:spacing w:before="360" w:after="120" w:line="480" w:lineRule="auto"/>
      <w:contextualSpacing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3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13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подзаголовк 2"/>
    <w:basedOn w:val="3"/>
    <w:next w:val="a"/>
    <w:link w:val="a4"/>
    <w:autoRedefine/>
    <w:uiPriority w:val="10"/>
    <w:qFormat/>
    <w:rsid w:val="004351D7"/>
    <w:pPr>
      <w:spacing w:before="120" w:after="120"/>
      <w:ind w:firstLine="709"/>
      <w:contextualSpacing/>
    </w:pPr>
    <w:rPr>
      <w:rFonts w:ascii="Times New Roman" w:hAnsi="Times New Roman"/>
      <w:i/>
      <w:color w:val="auto"/>
      <w:spacing w:val="-10"/>
      <w:kern w:val="28"/>
      <w:szCs w:val="56"/>
    </w:rPr>
  </w:style>
  <w:style w:type="character" w:customStyle="1" w:styleId="a4">
    <w:name w:val="Заголовок Знак"/>
    <w:aliases w:val="подзаголовк 2 Знак"/>
    <w:basedOn w:val="a0"/>
    <w:link w:val="a3"/>
    <w:uiPriority w:val="10"/>
    <w:rsid w:val="004351D7"/>
    <w:rPr>
      <w:rFonts w:ascii="Times New Roman" w:eastAsiaTheme="majorEastAsia" w:hAnsi="Times New Roman" w:cstheme="majorBidi"/>
      <w:i/>
      <w:spacing w:val="-10"/>
      <w:kern w:val="28"/>
      <w:sz w:val="24"/>
      <w:szCs w:val="56"/>
    </w:rPr>
  </w:style>
  <w:style w:type="paragraph" w:styleId="a5">
    <w:name w:val="Subtitle"/>
    <w:aliases w:val="Подзаголовок вкр"/>
    <w:basedOn w:val="2"/>
    <w:next w:val="a"/>
    <w:link w:val="a6"/>
    <w:autoRedefine/>
    <w:uiPriority w:val="11"/>
    <w:qFormat/>
    <w:rsid w:val="00516762"/>
    <w:pPr>
      <w:numPr>
        <w:ilvl w:val="1"/>
      </w:numPr>
      <w:spacing w:before="160" w:after="120"/>
      <w:contextualSpacing/>
    </w:pPr>
    <w:rPr>
      <w:rFonts w:ascii="Times New Roman" w:hAnsi="Times New Roman"/>
      <w:b/>
      <w:i/>
      <w:color w:val="auto"/>
      <w:sz w:val="24"/>
    </w:rPr>
  </w:style>
  <w:style w:type="character" w:customStyle="1" w:styleId="a6">
    <w:name w:val="Подзаголовок Знак"/>
    <w:aliases w:val="Подзаголовок вкр Знак"/>
    <w:basedOn w:val="a0"/>
    <w:link w:val="a5"/>
    <w:uiPriority w:val="11"/>
    <w:rsid w:val="00516762"/>
    <w:rPr>
      <w:rFonts w:ascii="Times New Roman" w:eastAsiaTheme="majorEastAsia" w:hAnsi="Times New Roman" w:cstheme="majorBidi"/>
      <w:b/>
      <w:i/>
      <w:sz w:val="24"/>
      <w:szCs w:val="26"/>
    </w:rPr>
  </w:style>
  <w:style w:type="character" w:customStyle="1" w:styleId="10">
    <w:name w:val="Заголовок 1 Знак"/>
    <w:aliases w:val="Заголовок вкр Знак"/>
    <w:basedOn w:val="a0"/>
    <w:link w:val="1"/>
    <w:uiPriority w:val="9"/>
    <w:rsid w:val="002E0AA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B33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B13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footnote reference"/>
    <w:aliases w:val="Referencia nota al pie,Знак сноски 1,Знак сноски-FN,Ciae niinee-FN,Footnote Number,тест сноски,Ссылка на сноску 45,Footnote Reference Number,ftref,fr,Used by Word for Help footnote symbols,-E Fußnotenzeichen,Ciae niinee 1,SUPERS,ОР,Fussnota"/>
    <w:basedOn w:val="a0"/>
    <w:uiPriority w:val="99"/>
    <w:unhideWhenUsed/>
    <w:qFormat/>
    <w:rsid w:val="003C5188"/>
    <w:rPr>
      <w:vertAlign w:val="superscript"/>
    </w:rPr>
  </w:style>
  <w:style w:type="paragraph" w:styleId="a8">
    <w:name w:val="Bibliography"/>
    <w:basedOn w:val="a"/>
    <w:next w:val="a"/>
    <w:uiPriority w:val="37"/>
    <w:unhideWhenUsed/>
    <w:rsid w:val="002E0AAF"/>
    <w:pPr>
      <w:spacing w:after="0" w:line="480" w:lineRule="auto"/>
      <w:ind w:left="720" w:hanging="720"/>
    </w:pPr>
  </w:style>
  <w:style w:type="paragraph" w:styleId="a9">
    <w:name w:val="No Spacing"/>
    <w:uiPriority w:val="1"/>
    <w:qFormat/>
    <w:rsid w:val="00EF152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aa">
    <w:name w:val="List Paragraph"/>
    <w:basedOn w:val="a"/>
    <w:uiPriority w:val="34"/>
    <w:qFormat/>
    <w:rsid w:val="00EB1D7C"/>
    <w:pPr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137F4A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137F4A"/>
    <w:rPr>
      <w:rFonts w:ascii="Times New Roman" w:hAnsi="Times New Roman"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8004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0049A"/>
    <w:rPr>
      <w:rFonts w:ascii="Times New Roman" w:hAnsi="Times New Roman"/>
      <w:sz w:val="24"/>
    </w:rPr>
  </w:style>
  <w:style w:type="paragraph" w:styleId="af">
    <w:name w:val="footer"/>
    <w:basedOn w:val="a"/>
    <w:link w:val="af0"/>
    <w:uiPriority w:val="99"/>
    <w:unhideWhenUsed/>
    <w:rsid w:val="008004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0049A"/>
    <w:rPr>
      <w:rFonts w:ascii="Times New Roman" w:hAnsi="Times New Roman"/>
      <w:sz w:val="24"/>
    </w:rPr>
  </w:style>
  <w:style w:type="character" w:styleId="af1">
    <w:name w:val="endnote reference"/>
    <w:basedOn w:val="a0"/>
    <w:uiPriority w:val="99"/>
    <w:semiHidden/>
    <w:unhideWhenUsed/>
    <w:rsid w:val="008145C1"/>
    <w:rPr>
      <w:vertAlign w:val="superscript"/>
    </w:rPr>
  </w:style>
  <w:style w:type="character" w:styleId="af2">
    <w:name w:val="Hyperlink"/>
    <w:basedOn w:val="a0"/>
    <w:uiPriority w:val="99"/>
    <w:semiHidden/>
    <w:unhideWhenUsed/>
    <w:rsid w:val="00A44EAD"/>
    <w:rPr>
      <w:color w:val="0000FF"/>
      <w:u w:val="single"/>
    </w:rPr>
  </w:style>
  <w:style w:type="paragraph" w:styleId="af3">
    <w:name w:val="Normal (Web)"/>
    <w:basedOn w:val="a"/>
    <w:uiPriority w:val="99"/>
    <w:unhideWhenUsed/>
    <w:rsid w:val="001500E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customStyle="1" w:styleId="11">
    <w:name w:val="Список литературы1"/>
    <w:basedOn w:val="a"/>
    <w:link w:val="Bibliography"/>
    <w:rsid w:val="009D3E56"/>
    <w:pPr>
      <w:spacing w:after="240" w:line="240" w:lineRule="auto"/>
      <w:ind w:left="720" w:hanging="720"/>
    </w:pPr>
    <w:rPr>
      <w:lang w:val="en-US"/>
    </w:rPr>
  </w:style>
  <w:style w:type="character" w:customStyle="1" w:styleId="Bibliography">
    <w:name w:val="Bibliography Знак"/>
    <w:basedOn w:val="a0"/>
    <w:link w:val="11"/>
    <w:rsid w:val="009D3E56"/>
    <w:rPr>
      <w:rFonts w:ascii="Times New Roman" w:hAnsi="Times New Roman"/>
      <w:sz w:val="24"/>
      <w:lang w:val="en-US"/>
    </w:rPr>
  </w:style>
  <w:style w:type="character" w:styleId="af4">
    <w:name w:val="Placeholder Text"/>
    <w:basedOn w:val="a0"/>
    <w:uiPriority w:val="99"/>
    <w:semiHidden/>
    <w:rsid w:val="00CE74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1F54B-4C1E-4902-8C60-3C158AFD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Устюжанин Вадим</dc:creator>
  <cp:keywords/>
  <dc:description/>
  <cp:lastModifiedBy>Устюжанин Вадим</cp:lastModifiedBy>
  <cp:revision>53</cp:revision>
  <dcterms:created xsi:type="dcterms:W3CDTF">2024-04-09T15:18:00Z</dcterms:created>
  <dcterms:modified xsi:type="dcterms:W3CDTF">2024-05-19T14:50:00Z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id="Fodldbyq"/&gt;&lt;style id="http://www.zotero.org/styles/american-political-science-association" locale="en-US" hasBibliography="1" bibliographyStyleHasBeenSet="1"/&gt;&lt;prefs&gt;&lt;pref name="fieldType" value=</vt:lpwstr>
  </property>
  <property fmtid="{D5CDD505-2E9C-101B-9397-08002B2CF9AE}" pid="3" name="ZOTERO_PREF_2">
    <vt:lpwstr>"Field"/&gt;&lt;/prefs&gt;&lt;/data&gt;</vt:lpwstr>
  </property>
</Properties>
</file>