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«Решение систем линейных уравнений с разреженными матрицами специального вида»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t xml:space="preserve">Для решения систем линейных алгебраических уравнений (СЛАУ) с симметричными ленточными матрицами, необходимо использовать метод Гаусса, применяя схему единственного деления. Этот подход адаптирован к структуре матрицы специального вида.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11"/>
        <w:tblW w:w="2720" w:type="dxa"/>
        <w:tblInd w:w="460" w:type="dxa"/>
        <w:tblBorders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>
              <w:t xml:space="preserve"> </w:t>
            </w: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tbl>
      <w:tblPr>
        <w:tblStyle w:val="11"/>
        <w:tblpPr w:horzAnchor="page" w:tblpX="6793" w:vertAnchor="text" w:tblpY="-4346" w:leftFromText="180" w:topFromText="0" w:rightFromText="180" w:bottomFromText="0"/>
        <w:tblW w:w="1020" w:type="dxa"/>
        <w:tblBorders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>
        <w:trPr>
          <w:trHeight w:val="340"/>
        </w:trPr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  <w:r/>
          </w:p>
        </w:tc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процедура предназначена для решения системы линейных уравнений с использованием метода Гаусса с учетом симметричной ленточной структуры матрицы.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Входные параметры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размерность системы (количество уравнений).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половина ширины ленты матрицы (количество элементов в левой части ленты).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N×LN \times 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N×L, содержащий нижнюю часть ленточной матрицы системы.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правой части системы, размерность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Выходные параметры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решений системы, размерность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Процедура выполняет преобразование исходной ленточной матрицы и вектора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 с использованием метода Гаусса (схема единственного деления), учитывая ленточную структуру для повышения эффективности.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Метод решения: </w:t>
      </w:r>
      <w:r>
        <w:rPr>
          <w:rFonts w:ascii="TimesNewRoman" w:hAnsi="TimesNewRoman"/>
          <w:b/>
          <w:bCs/>
          <w:color w:val="000000"/>
          <w:sz w:val="28"/>
          <w:szCs w:val="28"/>
        </w:rPr>
        <w:t xml:space="preserve">Схема единственного деления </w:t>
      </w:r>
      <w:r>
        <w:rPr>
          <w:rFonts w:ascii="TimesNewRoman" w:hAnsi="TimesNewRoman"/>
          <w:color w:val="000000"/>
          <w:sz w:val="28"/>
          <w:szCs w:val="28"/>
        </w:rPr>
        <w:t xml:space="preserve">метода Гаусса</w:t>
      </w:r>
      <w:r/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Алгоритм решения системы линейных алгебраических уравнений (СЛАУ) на основе метода Гаусса с использованием схемы единственного деления состоит из двух этапов: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Прямой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Прямой ход заключается в приведении исходной системы к системе с треугольной матрицей, где на главной диагонали находятся единицы. Обычно движение происходит сверху вниз, но в данном случае прямой ход выполняется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снизу вверх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каждом шаге снизу вверх выполняется исключение неизвестных, начиная с последних строк.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преобразований образуется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нижнетреугольная матрица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содержит элементы ленты матрицы слева от главной диагонали.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повышения эффективности хранения данных используется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N×LN \times 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N×L, который содержит только элементы ленты.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Обратный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Обратный ход осуществляется для вычисления вектора решений системы.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отличие от классического метода Гаусса, обратный ход начинается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 первой переменной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движется вниз по системе.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Решения вычисляются последовательно методом подстановки, начиная с верхней строки преобразованной системы.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Особенности реализации для ленточных матриц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экономии памяти хранятся только элементы нижней части ленты матрицы.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Исключения выполняются только для элементов, входящих в диапазон ленты.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этапе обратного хода используются те же элементы, которые были вычислены в процессе прямого хода.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эффективно решать СЛАУ для матриц специального вида, сокращая затраты памяти и времени за счет использования ленточной структуры данных.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Формулы для решения СЛАУ с симметричной ленточной матрицей методом Гаусса (схема единственного деления)</w:t>
      </w:r>
      <w:r/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Нормализация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если строка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=[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 k-L+2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…,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k,k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элемент главной диагонали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соответствующий элемент правой части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то нормализация строки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rPr/>
          <m:t>  </m:t>
        </m:r>
      </m:oMath>
      <w:r>
        <w:rPr>
          <w:rStyle w:val="172"/>
          <w:rFonts w:ascii="Cambria Math" w:hAnsi="Cambria Math" w:cs="Cambria Math"/>
          <w:b w:val="0"/>
          <w:color w:val="333333"/>
          <w:sz w:val="28"/>
          <w:szCs w:val="28"/>
          <w:shd w:val="clear" w:color="auto" w:fill="ffffff"/>
        </w:rPr>
        <w:t xml:space="preserve">∀ </w:t>
      </w:r>
      <m:oMath>
        <m:r>
          <w:rPr>
            <w:rStyle w:val="172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j,  </m:t>
        </m:r>
        <m:sSub>
          <m:sSub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172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f</m:t>
            </m:r>
          </m:e>
          <m:sub>
            <m:r>
              <w:rPr>
                <w:rStyle w:val="172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k</m:t>
            </m:r>
          </m:sub>
        </m:sSub>
        <m:r>
          <w:rPr>
            <w:rStyle w:val="172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= </m:t>
        </m:r>
        <m:f>
          <m:f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172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f</m:t>
                </m:r>
              </m:e>
              <m:sub>
                <m:r>
                  <w:rPr>
                    <w:rStyle w:val="172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172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Style w:val="172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k,k</m:t>
                </m:r>
              </m:sub>
            </m:sSub>
          </m:den>
        </m:f>
      </m:oMath>
      <w:r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172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влияния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строку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 xml:space="preserve">, имеющей вид: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=[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…,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]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исключение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 для элементов строки: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*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,  ∀j,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j &lt;m</m:t>
          </m:r>
        </m:oMath>
      </m:oMathPara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для правой части: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</m:t>
              </m:r>
            </m:sub>
          </m:sSub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</w:t>
      </w:r>
      <w:r>
        <w:rPr>
          <w:rFonts w:ascii="Times New Roman" w:hAnsi="Times New Roman" w:cs="Times New Roman"/>
          <w:sz w:val="28"/>
          <w:szCs w:val="28"/>
        </w:rPr>
        <w:t xml:space="preserve">атный 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; 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 </m:t>
        </m:r>
        <m:nary>
          <m:naryPr>
            <m:chr m:val="∑"/>
            <m:grow m:val="off"/>
            <m:limLoc m:val="subSup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i-1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rPr/>
          <m:t>, i=2÷N</m:t>
        </m:r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NewRoman">
    <w:panose1 w:val="05040102010807070707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2024-12-07T14:41:46Z</dcterms:modified>
</cp:coreProperties>
</file>