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w:bookmarkStart w:id="0" w:name="_GoBack"/>
      <w:r>
        <w:rPr>
          <w:color w:val="000000" w:themeColor="text1"/>
        </w:rPr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Применение метода прямых итераций с исчерпыванием для определения пары со третьим максимальным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A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  <m:r>
          <w:rPr>
            <w:rFonts w:ascii="Cambria Math" w:hAnsi="Times New Roman" w:cs="Times New Roman"/>
            <w:color w:val="000000" w:themeColor="text1"/>
          </w:rPr>
          <m:rPr/>
          <m:t>×</m:t>
        </m:r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  <w:color w:val="000000" w:themeColor="text1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(лямбда не рисуется почему-то) 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Symbol" w:hAnsi="Symbol" w:eastAsia="Symbol" w:cs="Symbol"/>
          <w:i/>
          <w:color w:val="000000" w:themeColor="text1"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– 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модулю собственному значению;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K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число выполненных итераций;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 w:eastAsiaTheme="minorEastAsia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r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Cambria Math" w:eastAsia="Cambria Math" w:cs="Cambria Math"/>
                <w:color w:val="000000" w:themeColor="text1"/>
              </w:rPr>
            </m:ctrlPr>
          </m:dPr>
          <m:e>
            <m:r>
              <w:rPr>
                <w:rFonts w:ascii="Cambria Math" w:hAnsi="Times New Roman" w:cs="Times New Roman"/>
                <w:color w:val="000000" w:themeColor="text1"/>
              </w:rPr>
              <m:rPr/>
              <m:t>лямбда </m:t>
            </m:r>
            <m:r>
              <w:rPr>
                <w:rFonts w:ascii="Cambria Math" w:hAnsi="Times New Roman" w:cs="Times New Roman"/>
                <w:color w:val="000000" w:themeColor="text1"/>
              </w:rPr>
              <m:rPr/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</m:d>
        <m:r>
          <w:rPr>
            <w:rFonts w:ascii="Cambria Math" w:hAnsi="Times New Roman" w:cs="Times New Roman"/>
            <w:color w:val="000000" w:themeColor="text1"/>
          </w:rPr>
          <m:rPr/>
          <m:t>.</m:t>
        </m:r>
      </m:oMath>
      <w:r>
        <w:rPr>
          <w:color w:val="000000" w:themeColor="text1"/>
        </w:rPr>
        <w:br w:type="page" w:clear="all"/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ω</m:t>
          </m:r>
          <m:sSup>
            <m:sSupPr>
              <m:ctrlPr>
                <w:rPr>
                  <w:rFonts w:ascii="Cambria Math" w:hAnsi="Cambria Math" w:eastAsia="Cambria Math" w:cs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,</m:t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HΛ</m:t>
        </m:r>
        <m:sSup>
          <m:sSup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  <w:t xml:space="preserve">В формулу вычисления матрицы для текущего шага подставляется матрица, вычисленная на предыдущем шаге, и тогда последним шагом будет вычисление нужной матрицы. 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color w:val="000000" w:themeColor="text1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color w:val="000000" w:themeColor="text1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color w:val="000000" w:themeColor="text1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color w:val="000000" w:themeColor="text1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Хаусхолдера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lang w:val="en-US"/>
        </w:rPr>
        <w:t xml:space="preserve">H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4)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straight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_exhaust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**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lambda_1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*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x_1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lambda_2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*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x_2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lambda_3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*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x_3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epsilon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K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r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avg_vec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lambda_true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*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x_true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long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&amp;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avg_lambda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Style w:val="894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 w:themeColor="text1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(лямбда)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9"/>
    <w:next w:val="879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Placeholder Text"/>
    <w:basedOn w:val="880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Текст выноски Знак"/>
    <w:basedOn w:val="88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 w:customStyle="1">
    <w:name w:val="fontstyle01"/>
    <w:basedOn w:val="880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886" w:customStyle="1">
    <w:name w:val="Абзац списка Знак"/>
    <w:basedOn w:val="880"/>
    <w:uiPriority w:val="34"/>
    <w:qFormat/>
    <w:pPr>
      <w:pBdr/>
      <w:spacing/>
      <w:ind/>
    </w:pPr>
  </w:style>
  <w:style w:type="paragraph" w:styleId="887" w:customStyle="1">
    <w:name w:val="Заголовок"/>
    <w:basedOn w:val="879"/>
    <w:next w:val="88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8">
    <w:name w:val="Body Text"/>
    <w:basedOn w:val="879"/>
    <w:pPr>
      <w:pBdr/>
      <w:spacing w:after="140"/>
      <w:ind/>
    </w:pPr>
  </w:style>
  <w:style w:type="paragraph" w:styleId="889">
    <w:name w:val="List"/>
    <w:basedOn w:val="888"/>
    <w:pPr>
      <w:pBdr/>
      <w:spacing/>
      <w:ind/>
    </w:pPr>
    <w:rPr>
      <w:rFonts w:cs="Arial"/>
    </w:rPr>
  </w:style>
  <w:style w:type="paragraph" w:styleId="890" w:customStyle="1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1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2">
    <w:name w:val="Balloon Text"/>
    <w:basedOn w:val="879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8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30</cp:revision>
  <dcterms:created xsi:type="dcterms:W3CDTF">2024-12-15T07:46:00Z</dcterms:created>
  <dcterms:modified xsi:type="dcterms:W3CDTF">2024-12-25T22:29:02Z</dcterms:modified>
</cp:coreProperties>
</file>