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20C3A70" w:rsidR="005B75C1" w:rsidRPr="00821B3C" w:rsidRDefault="00EB09BF" w:rsidP="009B41FB">
      <w:pPr>
        <w:jc w:val="both"/>
        <w:rPr>
          <w:rFonts w:cstheme="minorHAnsi"/>
          <w:sz w:val="32"/>
          <w:szCs w:val="32"/>
        </w:rPr>
      </w:pPr>
      <w:r w:rsidRPr="00821B3C">
        <w:rPr>
          <w:rFonts w:cstheme="minorHAnsi"/>
          <w:sz w:val="32"/>
          <w:szCs w:val="32"/>
        </w:rPr>
        <w:t>Model Description Paper</w:t>
      </w:r>
    </w:p>
    <w:p w14:paraId="73D5F675" w14:textId="725CD9D1" w:rsidR="00EB09BF" w:rsidRPr="00821B3C" w:rsidRDefault="00EB09BF" w:rsidP="009B41FB">
      <w:pPr>
        <w:jc w:val="both"/>
        <w:rPr>
          <w:rFonts w:cstheme="minorHAnsi"/>
        </w:rPr>
      </w:pPr>
    </w:p>
    <w:p w14:paraId="47A80374" w14:textId="60D69FA5" w:rsidR="00614EA7" w:rsidRPr="00614EA7" w:rsidRDefault="00EB09BF" w:rsidP="009B41FB">
      <w:pPr>
        <w:jc w:val="both"/>
        <w:rPr>
          <w:rFonts w:cstheme="minorHAnsi"/>
          <w:b/>
          <w:bCs/>
          <w:sz w:val="28"/>
          <w:szCs w:val="28"/>
        </w:rPr>
      </w:pPr>
      <w:r w:rsidRPr="00162AB6">
        <w:rPr>
          <w:rFonts w:cstheme="minorHAnsi"/>
          <w:b/>
          <w:bCs/>
          <w:sz w:val="28"/>
          <w:szCs w:val="28"/>
        </w:rPr>
        <w:t>Abstract</w:t>
      </w:r>
    </w:p>
    <w:p w14:paraId="7F1955EF" w14:textId="0A02B16E" w:rsidR="00614EA7" w:rsidRDefault="00614EA7" w:rsidP="009B41FB">
      <w:pPr>
        <w:jc w:val="both"/>
        <w:rPr>
          <w:rFonts w:cstheme="minorHAnsi"/>
        </w:rPr>
      </w:pPr>
    </w:p>
    <w:p w14:paraId="5F2EEC16" w14:textId="0E6DBB1A" w:rsidR="00614EA7" w:rsidRPr="00614EA7" w:rsidRDefault="00614EA7" w:rsidP="00614EA7">
      <w:pPr>
        <w:rPr>
          <w:rFonts w:eastAsia="Times New Roman" w:cstheme="minorHAnsi"/>
        </w:rPr>
      </w:pPr>
      <w:r w:rsidRPr="00614EA7">
        <w:rPr>
          <w:rFonts w:eastAsia="Times New Roman" w:cstheme="minorHAnsi"/>
          <w:color w:val="262626"/>
          <w:shd w:val="clear" w:color="auto" w:fill="FFFFFF"/>
        </w:rPr>
        <w:t xml:space="preserve">Variation in bedrock erodibility along a river profile gives rise to differences in vertical incision rate and influences sediment characteristics such as clast hardness, coarse sediment generation rate, and grain size. These streamwise sediment dynamics exert critical controls on the erosional mechanisms at work in lowering bedrock elevation and on the expression of transport-limited versus detachment-limited erosional behavior. The role of sediment in shaping a river profile has implications for the steady state fluvial geometry, as well as </w:t>
      </w:r>
      <w:r w:rsidRPr="00614EA7">
        <w:rPr>
          <w:rFonts w:eastAsia="Times New Roman" w:cstheme="minorHAnsi"/>
          <w:color w:val="262626"/>
          <w:shd w:val="clear" w:color="auto" w:fill="FFFFFF"/>
        </w:rPr>
        <w:t>a</w:t>
      </w:r>
      <w:r w:rsidRPr="00614EA7">
        <w:rPr>
          <w:rFonts w:eastAsia="Times New Roman" w:cstheme="minorHAnsi"/>
          <w:color w:val="262626"/>
          <w:shd w:val="clear" w:color="auto" w:fill="FFFFFF"/>
        </w:rPr>
        <w:t xml:space="preserve"> river’s transient response to external forcing.</w:t>
      </w:r>
    </w:p>
    <w:p w14:paraId="553E371F" w14:textId="67BD62D2" w:rsidR="008B31BC" w:rsidRDefault="00614EA7" w:rsidP="008B31BC">
      <w:pPr>
        <w:spacing w:before="120" w:after="120"/>
        <w:rPr>
          <w:rFonts w:cstheme="minorHAnsi"/>
        </w:rPr>
      </w:pPr>
      <w:r w:rsidRPr="00614EA7">
        <w:rPr>
          <w:rFonts w:eastAsia="Times New Roman" w:cstheme="minorHAnsi"/>
          <w:color w:val="262626"/>
        </w:rPr>
        <w:t xml:space="preserve">Here we present a model for river profile evolution in a setting with streamwise bedrock variability. Our model combines theory for five interrelated processes: bedload sediment transport in equilibrium gravel-bed channels, channel width adjustment to flow and sediment characteristics, abrasion of bedrock by mobile sediment, plucking of bedrock, and progressive loss of gravel-sized sediment due to grain-on-grain abrasion. </w:t>
      </w:r>
      <w:r w:rsidR="008B31BC" w:rsidRPr="00614EA7">
        <w:rPr>
          <w:rFonts w:eastAsia="Times New Roman" w:cstheme="minorHAnsi"/>
          <w:color w:val="262626"/>
        </w:rPr>
        <w:t xml:space="preserve">This model contributes to a growing class of “erosion-deposition” models that </w:t>
      </w:r>
      <w:r w:rsidR="008B31BC" w:rsidRPr="00614EA7">
        <w:rPr>
          <w:rFonts w:cstheme="minorHAnsi"/>
        </w:rPr>
        <w:t>seek to capture dynamics in mixed bedrock-alluvial rivers</w:t>
      </w:r>
      <w:r w:rsidR="00F55CB2">
        <w:rPr>
          <w:rFonts w:cstheme="minorHAnsi"/>
        </w:rPr>
        <w:t xml:space="preserve">, </w:t>
      </w:r>
      <w:r w:rsidR="008B31BC" w:rsidRPr="00614EA7">
        <w:rPr>
          <w:rFonts w:cstheme="minorHAnsi"/>
        </w:rPr>
        <w:t>whose behavior fall on a spectrum between detachment-limited and transport-limited erosional regimes.</w:t>
      </w:r>
      <w:r w:rsidR="008B31BC">
        <w:rPr>
          <w:rFonts w:cstheme="minorHAnsi"/>
        </w:rPr>
        <w:t xml:space="preserve"> Our contribution differs from previous models by specifically investigating the role of sediment interactions </w:t>
      </w:r>
      <w:r w:rsidR="008B31BC">
        <w:rPr>
          <w:rFonts w:cstheme="minorHAnsi"/>
        </w:rPr>
        <w:t xml:space="preserve">in </w:t>
      </w:r>
      <w:r w:rsidR="00F55CB2">
        <w:rPr>
          <w:rFonts w:cstheme="minorHAnsi"/>
        </w:rPr>
        <w:t>landscapes with heterogeneous bedrock lithology.</w:t>
      </w:r>
    </w:p>
    <w:p w14:paraId="3B098592" w14:textId="178D33E8" w:rsidR="00614EA7" w:rsidRPr="00F55CB2" w:rsidRDefault="00F55CB2" w:rsidP="00614EA7">
      <w:pPr>
        <w:spacing w:before="120" w:after="120"/>
        <w:rPr>
          <w:rFonts w:cstheme="minorHAnsi"/>
        </w:rPr>
      </w:pPr>
      <w:r>
        <w:rPr>
          <w:rFonts w:cstheme="minorHAnsi"/>
        </w:rPr>
        <w:t xml:space="preserve">We first test our model’s ability to reproduce hallmark fluvial features, such as slope-area scaling, channel </w:t>
      </w:r>
      <w:r w:rsidRPr="00F55CB2">
        <w:rPr>
          <w:rFonts w:cstheme="minorHAnsi"/>
        </w:rPr>
        <w:t>steepening with increas</w:t>
      </w:r>
      <w:r>
        <w:rPr>
          <w:rFonts w:cstheme="minorHAnsi"/>
        </w:rPr>
        <w:t>ing</w:t>
      </w:r>
      <w:r w:rsidRPr="00F55CB2">
        <w:rPr>
          <w:rFonts w:cstheme="minorHAnsi"/>
        </w:rPr>
        <w:t xml:space="preserve"> uplift rate, and transient knickpoint propagation. </w:t>
      </w:r>
      <w:r>
        <w:rPr>
          <w:rFonts w:cstheme="minorHAnsi"/>
        </w:rPr>
        <w:t xml:space="preserve">After demonstrating the model’s ability to produce such features, we discuss </w:t>
      </w:r>
      <w:r w:rsidR="0013174F">
        <w:rPr>
          <w:rFonts w:cstheme="minorHAnsi"/>
        </w:rPr>
        <w:t xml:space="preserve">the role of gravel attrition in influencing </w:t>
      </w:r>
      <w:r w:rsidRPr="00614EA7">
        <w:rPr>
          <w:rFonts w:eastAsia="Times New Roman" w:cstheme="minorHAnsi"/>
          <w:color w:val="262626"/>
        </w:rPr>
        <w:t>the mode of channel behavior (i.e., transport-limited versus detachment-limited erosion), channel steepness</w:t>
      </w:r>
      <w:r w:rsidR="0013174F">
        <w:rPr>
          <w:rFonts w:eastAsia="Times New Roman" w:cstheme="minorHAnsi"/>
          <w:color w:val="262626"/>
        </w:rPr>
        <w:t>,</w:t>
      </w:r>
      <w:r w:rsidRPr="00614EA7">
        <w:rPr>
          <w:rFonts w:eastAsia="Times New Roman" w:cstheme="minorHAnsi"/>
          <w:color w:val="262626"/>
        </w:rPr>
        <w:t xml:space="preserve"> and</w:t>
      </w:r>
      <w:r w:rsidR="0009236F">
        <w:rPr>
          <w:rFonts w:eastAsia="Times New Roman" w:cstheme="minorHAnsi"/>
          <w:color w:val="262626"/>
        </w:rPr>
        <w:t xml:space="preserve"> profile</w:t>
      </w:r>
      <w:r w:rsidRPr="00614EA7">
        <w:rPr>
          <w:rFonts w:eastAsia="Times New Roman" w:cstheme="minorHAnsi"/>
          <w:color w:val="262626"/>
        </w:rPr>
        <w:t xml:space="preserve"> concavity.</w:t>
      </w:r>
      <w:r>
        <w:rPr>
          <w:rFonts w:eastAsia="Times New Roman" w:cstheme="minorHAnsi"/>
          <w:color w:val="262626"/>
        </w:rPr>
        <w:t xml:space="preserve"> </w:t>
      </w:r>
    </w:p>
    <w:p w14:paraId="245D8954" w14:textId="77777777" w:rsidR="00614EA7" w:rsidRDefault="00614EA7" w:rsidP="009B41FB">
      <w:pPr>
        <w:jc w:val="both"/>
        <w:rPr>
          <w:rFonts w:cstheme="minorHAnsi"/>
        </w:rPr>
      </w:pPr>
    </w:p>
    <w:p w14:paraId="777F87C6" w14:textId="77777777" w:rsidR="000E2377" w:rsidRPr="00821B3C" w:rsidRDefault="000E2377"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31499DF6" w:rsidR="00295031" w:rsidRPr="00821B3C" w:rsidRDefault="00295031" w:rsidP="009B41FB">
      <w:pPr>
        <w:jc w:val="both"/>
        <w:rPr>
          <w:rFonts w:cstheme="minorHAnsi"/>
        </w:rPr>
      </w:pPr>
      <w:r w:rsidRPr="00821B3C">
        <w:rPr>
          <w:rFonts w:cstheme="minorHAnsi"/>
        </w:rPr>
        <w:t xml:space="preserve">Bedrock-incising rivers play a critical role in propagating perturbations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 These rivers, hereafter referred to simply as "bedrock rivers," </w:t>
      </w:r>
      <w:r w:rsidR="00F55C83">
        <w:rPr>
          <w:rFonts w:cstheme="minorHAnsi"/>
        </w:rPr>
        <w:t>cut</w:t>
      </w:r>
      <w:r w:rsidRPr="00821B3C">
        <w:rPr>
          <w:rFonts w:cstheme="minorHAnsi"/>
        </w:rPr>
        <w:t xml:space="preserve"> into bedrock over long timescales, even if their beds are episodically covered with a layer of alluvium. Bedrock rivers, then, play a vital role in setting landscape response times to such perturbations (e.g., Whipple and Tucker, 1999). It follows that </w:t>
      </w:r>
      <w:proofErr w:type="gramStart"/>
      <w:r w:rsidRPr="00821B3C">
        <w:rPr>
          <w:rFonts w:cstheme="minorHAnsi"/>
        </w:rPr>
        <w:t>in order to</w:t>
      </w:r>
      <w:proofErr w:type="gramEnd"/>
      <w:r w:rsidRPr="00821B3C">
        <w:rPr>
          <w:rFonts w:cstheme="minorHAnsi"/>
        </w:rPr>
        <w:t xml:space="preserve"> predict these 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 xml:space="preserve"> and modulates the dominant erosional processes along-stream.</w:t>
      </w:r>
    </w:p>
    <w:p w14:paraId="1A2DC819" w14:textId="6962257F" w:rsidR="00295031" w:rsidRPr="00821B3C" w:rsidRDefault="00295031" w:rsidP="009B41FB">
      <w:pPr>
        <w:jc w:val="both"/>
        <w:rPr>
          <w:rFonts w:cstheme="minorHAnsi"/>
        </w:rPr>
      </w:pPr>
    </w:p>
    <w:p w14:paraId="75455EBD" w14:textId="6832C162" w:rsidR="00295031" w:rsidRPr="00821B3C" w:rsidRDefault="00295031" w:rsidP="009B41FB">
      <w:pPr>
        <w:jc w:val="both"/>
        <w:rPr>
          <w:rFonts w:cstheme="minorHAnsi"/>
        </w:rPr>
      </w:pPr>
      <w:r w:rsidRPr="00821B3C">
        <w:rPr>
          <w:rFonts w:cstheme="minorHAnsi"/>
        </w:rPr>
        <w:lastRenderedPageBreak/>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0BAFFA11" w14:textId="7E31AF0E" w:rsidR="006C0119" w:rsidRPr="00821B3C" w:rsidRDefault="006C0119" w:rsidP="009B41FB">
      <w:pPr>
        <w:jc w:val="both"/>
        <w:rPr>
          <w:rFonts w:eastAsiaTheme="minorEastAsia" w:cstheme="minorHAnsi"/>
        </w:rPr>
      </w:pPr>
      <w:r w:rsidRPr="00821B3C">
        <w:rPr>
          <w:rFonts w:eastAsiaTheme="minorEastAsia" w:cstheme="minorHAnsi"/>
        </w:rPr>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288FEB63" w14:textId="3445EC0A" w:rsidR="00FB3B70" w:rsidRPr="00821B3C" w:rsidRDefault="00FB3B70" w:rsidP="009B41FB">
      <w:pPr>
        <w:jc w:val="both"/>
        <w:rPr>
          <w:rFonts w:eastAsiaTheme="minorEastAsia" w:cstheme="minorHAnsi"/>
        </w:rPr>
      </w:pPr>
    </w:p>
    <w:p w14:paraId="797D0283" w14:textId="42E43C19" w:rsidR="00FB3B70" w:rsidRPr="00821B3C" w:rsidRDefault="00FB3B70" w:rsidP="009B41FB">
      <w:pPr>
        <w:jc w:val="both"/>
        <w:rPr>
          <w:rFonts w:cstheme="minorHAnsi"/>
        </w:rPr>
      </w:pPr>
      <w:r w:rsidRPr="00821B3C">
        <w:rPr>
          <w:rFonts w:cstheme="minorHAnsi"/>
        </w:rPr>
        <w:t>In a steady state landscape, erosion rate everywhere along a river profile will be equal to the tectonic uplift rate. The stream power model captures this behavior when in predicts concave-upward steady state profiles, where slopes decrease in the downstream direction as contributing drainage area increases. If lithologic heterogeneities are present along the profile (resulting in different values of K), then the stream power law will predict that local slopes adjust to keep erosion rate the same everywhere despite differences in K.</w:t>
      </w:r>
    </w:p>
    <w:p w14:paraId="48E26585" w14:textId="305D825F" w:rsidR="00FB3B70" w:rsidRPr="00821B3C" w:rsidRDefault="00FB3B70" w:rsidP="009B41FB">
      <w:pPr>
        <w:jc w:val="both"/>
        <w:rPr>
          <w:rFonts w:cstheme="minorHAnsi"/>
        </w:rPr>
      </w:pPr>
    </w:p>
    <w:p w14:paraId="0D300E8E" w14:textId="77777777"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a recent review by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w:t>
      </w:r>
      <w:r w:rsidRPr="00821B3C">
        <w:rPr>
          <w:rFonts w:cstheme="minorHAnsi"/>
        </w:rPr>
        <w:lastRenderedPageBreak/>
        <w:t>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lastRenderedPageBreak/>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While transport-limited and detachment-limited erosional models can produce the same steady state river profiles, the choice of erosion law does result in markedly different transient responses to external forces (Tucker and Hancock, 2010). The study of transient river responses 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w:t>
      </w:r>
      <w:r w:rsidR="00215E47" w:rsidRPr="00821B3C">
        <w:rPr>
          <w:rFonts w:cstheme="minorHAnsi"/>
        </w:rPr>
        <w:lastRenderedPageBreak/>
        <w:t xml:space="preserve">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Other studies have focused more explicitly on how sediment load changes across lithologic boundaries; in these studies, the boundaries represent major shifts in physiographic province, 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and loses some fraction of bedload mass downstream to grain attrition. We assume that erosion occurs only through plucking and abrasion, as these are thought to be the dominant erosional processes in bedrock rivers (Whipple,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 xml:space="preserve">Our model does not account for the differences in shear stress associated with different styles of plucking detachment, per </w:t>
      </w:r>
      <w:proofErr w:type="spellStart"/>
      <w:r w:rsidRPr="00821B3C">
        <w:rPr>
          <w:rFonts w:cstheme="minorHAnsi"/>
          <w:color w:val="000000" w:themeColor="text1"/>
        </w:rPr>
        <w:t>Gabet</w:t>
      </w:r>
      <w:proofErr w:type="spellEnd"/>
      <w:r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sediment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of varying width exerts control on local erosion rates. Formulas 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proofErr w:type="gramStart"/>
      <w:r>
        <w:rPr>
          <w:rFonts w:eastAsiaTheme="minorEastAsia" w:cstheme="minorHAnsi"/>
          <w:color w:val="000000" w:themeColor="text1"/>
        </w:rPr>
        <w:t>is</w:t>
      </w:r>
      <w:proofErr w:type="gramEnd"/>
      <w:r>
        <w:rPr>
          <w:rFonts w:eastAsiaTheme="minorEastAsia" w:cstheme="minorHAnsi"/>
          <w:color w:val="000000" w:themeColor="text1"/>
        </w:rPr>
        <w:t xml:space="preserve">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lastRenderedPageBreak/>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xml:space="preserve">; therefore, the lateral sediment flux to the valley at any point will be a function of the distance traveled, </w:t>
      </w:r>
      <w:r w:rsidR="006A2AA5">
        <w:rPr>
          <w:rFonts w:cstheme="minorHAnsi"/>
          <w:color w:val="000000" w:themeColor="text1"/>
        </w:rPr>
        <w:lastRenderedPageBreak/>
        <w:t>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 xml:space="preserve">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w:t>
      </w:r>
      <w:r w:rsidRPr="00821B3C">
        <w:rPr>
          <w:rFonts w:cstheme="minorHAnsi"/>
          <w:color w:val="000000" w:themeColor="text1"/>
        </w:rPr>
        <w:lastRenderedPageBreak/>
        <w:t>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w:t>
      </w:r>
      <w:r>
        <w:rPr>
          <w:rFonts w:cstheme="minorHAnsi"/>
          <w:color w:val="000000" w:themeColor="text1"/>
        </w:rPr>
        <w:lastRenderedPageBreak/>
        <w:t xml:space="preserve">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no sediment would remain on the riverbed, and these would be truly “detachment limited” systems. However, in our model set-up, sediment is allowed to persist on the riverbed for at least one timestep, representing the time between when it is generated from plucking versus when it 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00057930" w:rsidRPr="00821B3C">
        <w:rPr>
          <w:rFonts w:cstheme="minorHAnsi"/>
          <w:color w:val="000000" w:themeColor="text1"/>
        </w:rPr>
        <w:t>abradability</w:t>
      </w:r>
      <w:proofErr w:type="spellEnd"/>
      <w:r w:rsidR="00057930" w:rsidRPr="00821B3C">
        <w:rPr>
          <w:rFonts w:cstheme="minorHAnsi"/>
          <w:color w:val="000000" w:themeColor="text1"/>
        </w:rPr>
        <w:t xml:space="preserve">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w:lastRenderedPageBreak/>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EB97D"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lastRenderedPageBreak/>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w:t>
      </w:r>
      <w:r>
        <w:rPr>
          <w:rFonts w:cstheme="minorHAnsi"/>
          <w:color w:val="000000" w:themeColor="text1"/>
        </w:rPr>
        <w:lastRenderedPageBreak/>
        <w:t>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2336" behindDoc="1" locked="0" layoutInCell="1" allowOverlap="1" wp14:anchorId="006453D5" wp14:editId="13AFD507">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0" type="#_x0000_t202" style="position:absolute;left:0;text-align:left;margin-left:173.75pt;margin-top:.05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000000"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and minus mass being lost from the bedload within the cell to grain attrition.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00000"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000000"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the sediment flux terms on the right-hand side,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000000"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proofErr w:type="gramStart"/>
      <w:r>
        <w:rPr>
          <w:rFonts w:eastAsiaTheme="minorEastAsia" w:cstheme="minorHAnsi"/>
          <w:color w:val="000000" w:themeColor="text1"/>
        </w:rPr>
        <w:t>In order to</w:t>
      </w:r>
      <w:proofErr w:type="gramEnd"/>
      <w:r>
        <w:rPr>
          <w:rFonts w:eastAsiaTheme="minorEastAsia" w:cstheme="minorHAnsi"/>
          <w:color w:val="000000" w:themeColor="text1"/>
        </w:rPr>
        <w:t xml:space="preserve">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23359FC5" w:rsidR="00F91A89" w:rsidRPr="003F67E6" w:rsidRDefault="00000000" w:rsidP="009B41FB">
      <w:pPr>
        <w:jc w:val="both"/>
        <w:rPr>
          <w:rFonts w:eastAsiaTheme="minorEastAsia"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p w14:paraId="5B3F1E6F" w14:textId="1F7F684F" w:rsidR="003F67E6" w:rsidRDefault="003F67E6" w:rsidP="009B41FB">
      <w:pPr>
        <w:jc w:val="both"/>
        <w:rPr>
          <w:rFonts w:eastAsiaTheme="minorEastAsia" w:cstheme="minorHAnsi"/>
          <w:color w:val="000000" w:themeColor="text1"/>
        </w:rPr>
      </w:pPr>
    </w:p>
    <w:p w14:paraId="75D16C52" w14:textId="35AC8382" w:rsidR="003F67E6" w:rsidRDefault="003F67E6" w:rsidP="009B41FB">
      <w:pPr>
        <w:jc w:val="both"/>
        <w:rPr>
          <w:rFonts w:cstheme="minorHAnsi"/>
          <w:color w:val="000000" w:themeColor="text1"/>
          <w:sz w:val="48"/>
          <w:szCs w:val="48"/>
        </w:rPr>
      </w:pPr>
    </w:p>
    <w:p w14:paraId="363DD417" w14:textId="7CFE433A" w:rsidR="00F55CB2" w:rsidRDefault="00F55CB2" w:rsidP="009B41FB">
      <w:pPr>
        <w:jc w:val="both"/>
        <w:rPr>
          <w:rFonts w:cstheme="minorHAnsi"/>
          <w:color w:val="000000" w:themeColor="text1"/>
          <w:sz w:val="48"/>
          <w:szCs w:val="48"/>
        </w:rPr>
      </w:pPr>
    </w:p>
    <w:p w14:paraId="2ECBB0A8" w14:textId="360ED1AA" w:rsidR="00860E67" w:rsidRPr="00860E67" w:rsidRDefault="00F55CB2" w:rsidP="00860E67">
      <w:pPr>
        <w:jc w:val="both"/>
        <w:rPr>
          <w:rFonts w:cstheme="minorHAnsi"/>
        </w:rPr>
      </w:pPr>
      <w:r w:rsidRPr="00821B3C">
        <w:rPr>
          <w:rFonts w:cstheme="minorHAnsi"/>
        </w:rPr>
        <w:t xml:space="preserve">Bedrock-incising rivers set the pace of landscape response to tectonic and climatic perturbations; </w:t>
      </w:r>
      <w:r>
        <w:rPr>
          <w:rFonts w:cstheme="minorHAnsi"/>
        </w:rPr>
        <w:t>it follows that a thorough treatment of bedrock river processes is vital to understanding such responses. B</w:t>
      </w:r>
      <w:r w:rsidRPr="00821B3C">
        <w:rPr>
          <w:rFonts w:cstheme="minorHAnsi"/>
        </w:rPr>
        <w:t xml:space="preserve">edrock incision </w:t>
      </w:r>
      <w:r>
        <w:rPr>
          <w:rFonts w:cstheme="minorHAnsi"/>
        </w:rPr>
        <w:t>models</w:t>
      </w:r>
      <w:r w:rsidRPr="00821B3C">
        <w:rPr>
          <w:rFonts w:cstheme="minorHAnsi"/>
        </w:rPr>
        <w:t xml:space="preserve"> have increased in scope and complexity in recent years, but </w:t>
      </w:r>
      <w:r>
        <w:rPr>
          <w:rFonts w:cstheme="minorHAnsi"/>
        </w:rPr>
        <w:t xml:space="preserve">models that capture the full complexity of a river system remain elusive.  </w:t>
      </w:r>
      <w:r w:rsidRPr="00821B3C">
        <w:rPr>
          <w:rFonts w:cstheme="minorHAnsi"/>
        </w:rPr>
        <w:t xml:space="preserve">Here we present a </w:t>
      </w:r>
      <w:r>
        <w:rPr>
          <w:rFonts w:cstheme="minorHAnsi"/>
        </w:rPr>
        <w:t xml:space="preserve">one-dimensional finite difference </w:t>
      </w:r>
      <w:r w:rsidRPr="00821B3C">
        <w:rPr>
          <w:rFonts w:cstheme="minorHAnsi"/>
        </w:rPr>
        <w:t>model that seeks to honor a greater breadth of fluvial processes at play along regional-scale river systems</w:t>
      </w:r>
      <w:r>
        <w:rPr>
          <w:rFonts w:cstheme="minorHAnsi"/>
        </w:rPr>
        <w:t xml:space="preserve">. Processes represented in our model include bedrock erosion via plucking and abrasion, shear stress dependent sediment transport, transient hillslope response, and the reduction of </w:t>
      </w:r>
      <w:proofErr w:type="spellStart"/>
      <w:r>
        <w:rPr>
          <w:rFonts w:cstheme="minorHAnsi"/>
        </w:rPr>
        <w:t>bedoad</w:t>
      </w:r>
      <w:proofErr w:type="spellEnd"/>
      <w:r>
        <w:rPr>
          <w:rFonts w:cstheme="minorHAnsi"/>
        </w:rPr>
        <w:t xml:space="preserve"> mass via gravel attrition. Our model contributes to a growing class of “erosion-deposition” models that seek to capture dynamics in mixed bedrock-alluvial rivers – that is, rivers whose behavior falls on a spectrum between detachment-limited and transport-limited erosional regimes. </w:t>
      </w:r>
    </w:p>
    <w:p w14:paraId="251493F0" w14:textId="5744EEED" w:rsidR="00860E67" w:rsidRDefault="00860E67" w:rsidP="00860E67">
      <w:pPr>
        <w:pStyle w:val="NormalWeb"/>
      </w:pPr>
    </w:p>
    <w:p w14:paraId="41757B0E" w14:textId="77777777" w:rsidR="006B08D6" w:rsidRPr="006B08D6" w:rsidRDefault="006B08D6" w:rsidP="009B41FB">
      <w:pPr>
        <w:jc w:val="both"/>
        <w:rPr>
          <w:rFonts w:cstheme="minorHAnsi"/>
          <w:color w:val="000000" w:themeColor="text1"/>
        </w:rPr>
      </w:pPr>
    </w:p>
    <w:sectPr w:rsidR="006B08D6" w:rsidRPr="006B08D6"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68023D"/>
    <w:multiLevelType w:val="hybridMultilevel"/>
    <w:tmpl w:val="93B0416E"/>
    <w:lvl w:ilvl="0" w:tplc="14BCEC9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1515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5DCD"/>
    <w:rsid w:val="00030607"/>
    <w:rsid w:val="00044F5D"/>
    <w:rsid w:val="0004648C"/>
    <w:rsid w:val="00057930"/>
    <w:rsid w:val="00073023"/>
    <w:rsid w:val="0009236F"/>
    <w:rsid w:val="000B3B9E"/>
    <w:rsid w:val="000D52EA"/>
    <w:rsid w:val="000E2377"/>
    <w:rsid w:val="00127F84"/>
    <w:rsid w:val="0013174F"/>
    <w:rsid w:val="001546C9"/>
    <w:rsid w:val="00160A44"/>
    <w:rsid w:val="00162AB6"/>
    <w:rsid w:val="00167A7C"/>
    <w:rsid w:val="001873EA"/>
    <w:rsid w:val="00194134"/>
    <w:rsid w:val="00194EF6"/>
    <w:rsid w:val="001A42AF"/>
    <w:rsid w:val="001B19DE"/>
    <w:rsid w:val="001B3000"/>
    <w:rsid w:val="001B5271"/>
    <w:rsid w:val="001C16DD"/>
    <w:rsid w:val="001D7CF1"/>
    <w:rsid w:val="0020501C"/>
    <w:rsid w:val="00215E47"/>
    <w:rsid w:val="00225466"/>
    <w:rsid w:val="00231670"/>
    <w:rsid w:val="00295031"/>
    <w:rsid w:val="002E49A9"/>
    <w:rsid w:val="003061CB"/>
    <w:rsid w:val="00311ED3"/>
    <w:rsid w:val="00321885"/>
    <w:rsid w:val="00326D8B"/>
    <w:rsid w:val="00391A30"/>
    <w:rsid w:val="003A4BB4"/>
    <w:rsid w:val="003F67E6"/>
    <w:rsid w:val="00430088"/>
    <w:rsid w:val="004638C0"/>
    <w:rsid w:val="00493341"/>
    <w:rsid w:val="004B6765"/>
    <w:rsid w:val="004E3282"/>
    <w:rsid w:val="005163E0"/>
    <w:rsid w:val="00544C3D"/>
    <w:rsid w:val="00545CCC"/>
    <w:rsid w:val="005601EE"/>
    <w:rsid w:val="00561B54"/>
    <w:rsid w:val="005805A9"/>
    <w:rsid w:val="00582F5E"/>
    <w:rsid w:val="00586443"/>
    <w:rsid w:val="0059188D"/>
    <w:rsid w:val="005A6C3C"/>
    <w:rsid w:val="005C2599"/>
    <w:rsid w:val="005F4E13"/>
    <w:rsid w:val="0060046B"/>
    <w:rsid w:val="00611C6D"/>
    <w:rsid w:val="00614EA7"/>
    <w:rsid w:val="00625936"/>
    <w:rsid w:val="00635044"/>
    <w:rsid w:val="00676C9C"/>
    <w:rsid w:val="006A2AA5"/>
    <w:rsid w:val="006A6236"/>
    <w:rsid w:val="006B08D6"/>
    <w:rsid w:val="006B097B"/>
    <w:rsid w:val="006B7B90"/>
    <w:rsid w:val="006C0119"/>
    <w:rsid w:val="006C69BC"/>
    <w:rsid w:val="006D2498"/>
    <w:rsid w:val="006F0CDD"/>
    <w:rsid w:val="00707A25"/>
    <w:rsid w:val="00727143"/>
    <w:rsid w:val="00777AA7"/>
    <w:rsid w:val="007C6D32"/>
    <w:rsid w:val="007D575E"/>
    <w:rsid w:val="007F226A"/>
    <w:rsid w:val="007F7788"/>
    <w:rsid w:val="00815B7A"/>
    <w:rsid w:val="00820EDC"/>
    <w:rsid w:val="00821B3C"/>
    <w:rsid w:val="00844634"/>
    <w:rsid w:val="00860E67"/>
    <w:rsid w:val="0088663A"/>
    <w:rsid w:val="008A3442"/>
    <w:rsid w:val="008B31BC"/>
    <w:rsid w:val="008C47A4"/>
    <w:rsid w:val="008C7E12"/>
    <w:rsid w:val="0090259D"/>
    <w:rsid w:val="00925B4C"/>
    <w:rsid w:val="00930541"/>
    <w:rsid w:val="009632BC"/>
    <w:rsid w:val="009754B6"/>
    <w:rsid w:val="009A68AA"/>
    <w:rsid w:val="009B41FB"/>
    <w:rsid w:val="009D1BE9"/>
    <w:rsid w:val="009F157B"/>
    <w:rsid w:val="009F7D47"/>
    <w:rsid w:val="00A4027D"/>
    <w:rsid w:val="00A70D4B"/>
    <w:rsid w:val="00A84897"/>
    <w:rsid w:val="00A87CC6"/>
    <w:rsid w:val="00AB7FE8"/>
    <w:rsid w:val="00B015F6"/>
    <w:rsid w:val="00B37E56"/>
    <w:rsid w:val="00B4067C"/>
    <w:rsid w:val="00B47B67"/>
    <w:rsid w:val="00BE4E64"/>
    <w:rsid w:val="00C2117E"/>
    <w:rsid w:val="00C32F0A"/>
    <w:rsid w:val="00C522B3"/>
    <w:rsid w:val="00CE55B4"/>
    <w:rsid w:val="00CF70A4"/>
    <w:rsid w:val="00D223DE"/>
    <w:rsid w:val="00D27D95"/>
    <w:rsid w:val="00D46CF9"/>
    <w:rsid w:val="00D56546"/>
    <w:rsid w:val="00D70A8C"/>
    <w:rsid w:val="00D752FE"/>
    <w:rsid w:val="00D7601F"/>
    <w:rsid w:val="00DD5064"/>
    <w:rsid w:val="00DD7D78"/>
    <w:rsid w:val="00DE2B06"/>
    <w:rsid w:val="00DE699B"/>
    <w:rsid w:val="00E84CBF"/>
    <w:rsid w:val="00EB09BF"/>
    <w:rsid w:val="00EB77F2"/>
    <w:rsid w:val="00EC3C96"/>
    <w:rsid w:val="00ED5134"/>
    <w:rsid w:val="00F0586B"/>
    <w:rsid w:val="00F41A62"/>
    <w:rsid w:val="00F45190"/>
    <w:rsid w:val="00F50489"/>
    <w:rsid w:val="00F5167A"/>
    <w:rsid w:val="00F55C83"/>
    <w:rsid w:val="00F55CB2"/>
    <w:rsid w:val="00F85E4C"/>
    <w:rsid w:val="00F87A2F"/>
    <w:rsid w:val="00F91A89"/>
    <w:rsid w:val="00F91BA4"/>
    <w:rsid w:val="00F95266"/>
    <w:rsid w:val="00FA1388"/>
    <w:rsid w:val="00FB0BBB"/>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 w:type="paragraph" w:styleId="NormalWeb">
    <w:name w:val="Normal (Web)"/>
    <w:basedOn w:val="Normal"/>
    <w:uiPriority w:val="99"/>
    <w:semiHidden/>
    <w:unhideWhenUsed/>
    <w:rsid w:val="000E237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1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43517">
      <w:bodyDiv w:val="1"/>
      <w:marLeft w:val="0"/>
      <w:marRight w:val="0"/>
      <w:marTop w:val="0"/>
      <w:marBottom w:val="0"/>
      <w:divBdr>
        <w:top w:val="none" w:sz="0" w:space="0" w:color="auto"/>
        <w:left w:val="none" w:sz="0" w:space="0" w:color="auto"/>
        <w:bottom w:val="none" w:sz="0" w:space="0" w:color="auto"/>
        <w:right w:val="none" w:sz="0" w:space="0" w:color="auto"/>
      </w:divBdr>
      <w:divsChild>
        <w:div w:id="1424643946">
          <w:marLeft w:val="0"/>
          <w:marRight w:val="0"/>
          <w:marTop w:val="0"/>
          <w:marBottom w:val="0"/>
          <w:divBdr>
            <w:top w:val="none" w:sz="0" w:space="0" w:color="auto"/>
            <w:left w:val="none" w:sz="0" w:space="0" w:color="auto"/>
            <w:bottom w:val="none" w:sz="0" w:space="0" w:color="auto"/>
            <w:right w:val="none" w:sz="0" w:space="0" w:color="auto"/>
          </w:divBdr>
          <w:divsChild>
            <w:div w:id="1883250198">
              <w:marLeft w:val="0"/>
              <w:marRight w:val="0"/>
              <w:marTop w:val="0"/>
              <w:marBottom w:val="0"/>
              <w:divBdr>
                <w:top w:val="none" w:sz="0" w:space="0" w:color="auto"/>
                <w:left w:val="none" w:sz="0" w:space="0" w:color="auto"/>
                <w:bottom w:val="none" w:sz="0" w:space="0" w:color="auto"/>
                <w:right w:val="none" w:sz="0" w:space="0" w:color="auto"/>
              </w:divBdr>
              <w:divsChild>
                <w:div w:id="19072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53860">
      <w:bodyDiv w:val="1"/>
      <w:marLeft w:val="0"/>
      <w:marRight w:val="0"/>
      <w:marTop w:val="0"/>
      <w:marBottom w:val="0"/>
      <w:divBdr>
        <w:top w:val="none" w:sz="0" w:space="0" w:color="auto"/>
        <w:left w:val="none" w:sz="0" w:space="0" w:color="auto"/>
        <w:bottom w:val="none" w:sz="0" w:space="0" w:color="auto"/>
        <w:right w:val="none" w:sz="0" w:space="0" w:color="auto"/>
      </w:divBdr>
      <w:divsChild>
        <w:div w:id="732430880">
          <w:marLeft w:val="0"/>
          <w:marRight w:val="0"/>
          <w:marTop w:val="0"/>
          <w:marBottom w:val="0"/>
          <w:divBdr>
            <w:top w:val="none" w:sz="0" w:space="0" w:color="auto"/>
            <w:left w:val="none" w:sz="0" w:space="0" w:color="auto"/>
            <w:bottom w:val="none" w:sz="0" w:space="0" w:color="auto"/>
            <w:right w:val="none" w:sz="0" w:space="0" w:color="auto"/>
          </w:divBdr>
          <w:divsChild>
            <w:div w:id="1775590017">
              <w:marLeft w:val="0"/>
              <w:marRight w:val="0"/>
              <w:marTop w:val="0"/>
              <w:marBottom w:val="0"/>
              <w:divBdr>
                <w:top w:val="none" w:sz="0" w:space="0" w:color="auto"/>
                <w:left w:val="none" w:sz="0" w:space="0" w:color="auto"/>
                <w:bottom w:val="none" w:sz="0" w:space="0" w:color="auto"/>
                <w:right w:val="none" w:sz="0" w:space="0" w:color="auto"/>
              </w:divBdr>
              <w:divsChild>
                <w:div w:id="371200017">
                  <w:marLeft w:val="0"/>
                  <w:marRight w:val="0"/>
                  <w:marTop w:val="0"/>
                  <w:marBottom w:val="0"/>
                  <w:divBdr>
                    <w:top w:val="none" w:sz="0" w:space="0" w:color="auto"/>
                    <w:left w:val="none" w:sz="0" w:space="0" w:color="auto"/>
                    <w:bottom w:val="none" w:sz="0" w:space="0" w:color="auto"/>
                    <w:right w:val="none" w:sz="0" w:space="0" w:color="auto"/>
                  </w:divBdr>
                </w:div>
                <w:div w:id="14509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7113">
      <w:bodyDiv w:val="1"/>
      <w:marLeft w:val="0"/>
      <w:marRight w:val="0"/>
      <w:marTop w:val="0"/>
      <w:marBottom w:val="0"/>
      <w:divBdr>
        <w:top w:val="none" w:sz="0" w:space="0" w:color="auto"/>
        <w:left w:val="none" w:sz="0" w:space="0" w:color="auto"/>
        <w:bottom w:val="none" w:sz="0" w:space="0" w:color="auto"/>
        <w:right w:val="none" w:sz="0" w:space="0" w:color="auto"/>
      </w:divBdr>
    </w:div>
    <w:div w:id="914971068">
      <w:bodyDiv w:val="1"/>
      <w:marLeft w:val="0"/>
      <w:marRight w:val="0"/>
      <w:marTop w:val="0"/>
      <w:marBottom w:val="0"/>
      <w:divBdr>
        <w:top w:val="none" w:sz="0" w:space="0" w:color="auto"/>
        <w:left w:val="none" w:sz="0" w:space="0" w:color="auto"/>
        <w:bottom w:val="none" w:sz="0" w:space="0" w:color="auto"/>
        <w:right w:val="none" w:sz="0" w:space="0" w:color="auto"/>
      </w:divBdr>
      <w:divsChild>
        <w:div w:id="1181436508">
          <w:marLeft w:val="0"/>
          <w:marRight w:val="0"/>
          <w:marTop w:val="0"/>
          <w:marBottom w:val="0"/>
          <w:divBdr>
            <w:top w:val="none" w:sz="0" w:space="0" w:color="auto"/>
            <w:left w:val="none" w:sz="0" w:space="0" w:color="auto"/>
            <w:bottom w:val="none" w:sz="0" w:space="0" w:color="auto"/>
            <w:right w:val="none" w:sz="0" w:space="0" w:color="auto"/>
          </w:divBdr>
          <w:divsChild>
            <w:div w:id="1119447179">
              <w:marLeft w:val="0"/>
              <w:marRight w:val="0"/>
              <w:marTop w:val="0"/>
              <w:marBottom w:val="0"/>
              <w:divBdr>
                <w:top w:val="none" w:sz="0" w:space="0" w:color="auto"/>
                <w:left w:val="none" w:sz="0" w:space="0" w:color="auto"/>
                <w:bottom w:val="none" w:sz="0" w:space="0" w:color="auto"/>
                <w:right w:val="none" w:sz="0" w:space="0" w:color="auto"/>
              </w:divBdr>
              <w:divsChild>
                <w:div w:id="4004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4241">
      <w:bodyDiv w:val="1"/>
      <w:marLeft w:val="0"/>
      <w:marRight w:val="0"/>
      <w:marTop w:val="0"/>
      <w:marBottom w:val="0"/>
      <w:divBdr>
        <w:top w:val="none" w:sz="0" w:space="0" w:color="auto"/>
        <w:left w:val="none" w:sz="0" w:space="0" w:color="auto"/>
        <w:bottom w:val="none" w:sz="0" w:space="0" w:color="auto"/>
        <w:right w:val="none" w:sz="0" w:space="0" w:color="auto"/>
      </w:divBdr>
      <w:divsChild>
        <w:div w:id="949362008">
          <w:marLeft w:val="0"/>
          <w:marRight w:val="0"/>
          <w:marTop w:val="0"/>
          <w:marBottom w:val="0"/>
          <w:divBdr>
            <w:top w:val="none" w:sz="0" w:space="0" w:color="auto"/>
            <w:left w:val="none" w:sz="0" w:space="0" w:color="auto"/>
            <w:bottom w:val="none" w:sz="0" w:space="0" w:color="auto"/>
            <w:right w:val="none" w:sz="0" w:space="0" w:color="auto"/>
          </w:divBdr>
          <w:divsChild>
            <w:div w:id="714040298">
              <w:marLeft w:val="0"/>
              <w:marRight w:val="0"/>
              <w:marTop w:val="0"/>
              <w:marBottom w:val="0"/>
              <w:divBdr>
                <w:top w:val="none" w:sz="0" w:space="0" w:color="auto"/>
                <w:left w:val="none" w:sz="0" w:space="0" w:color="auto"/>
                <w:bottom w:val="none" w:sz="0" w:space="0" w:color="auto"/>
                <w:right w:val="none" w:sz="0" w:space="0" w:color="auto"/>
              </w:divBdr>
              <w:divsChild>
                <w:div w:id="9812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19</Pages>
  <Words>6114</Words>
  <Characters>34856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74</cp:revision>
  <dcterms:created xsi:type="dcterms:W3CDTF">2022-06-23T17:22:00Z</dcterms:created>
  <dcterms:modified xsi:type="dcterms:W3CDTF">2022-10-20T19:25:00Z</dcterms:modified>
</cp:coreProperties>
</file>