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Kicker"/>
        <w:shd w:fill="0A1A10"/>
      </w:pPr>
      <w:r>
        <w:t>Brand handbook estratégico</w:t>
      </w:r>
    </w:p>
    <w:p>
      <w:pPr>
        <w:pStyle w:val="Title"/>
        <w:shd w:fill="0A1A10"/>
      </w:pPr>
      <w:r>
        <w:t>Manual de Marca VagaAI</w:t>
      </w:r>
    </w:p>
    <w:p>
      <w:pPr>
        <w:pStyle w:val="Subtitle"/>
        <w:shd w:fill="0A1A10"/>
      </w:pPr>
      <w:r>
        <w:t>Guia estratégico para posicionamento, tom de voz, identidade visual, produto, marketing e comunicação comercial.</w:t>
      </w:r>
    </w:p>
    <w:tbl>
      <w:tblPr>
        <w:tblW w:w="9360" w:type="dxa"/>
        <w:tblBorders>
          <w:top w:val="single" w:sz="4" w:color="BFE7CF"/>
          <w:left w:val="single" w:sz="12" w:color="4ECE91"/>
          <w:bottom w:val="single" w:sz="4" w:color="BFE7CF"/>
          <w:right w:val="single" w:sz="4" w:color="BFE7CF"/>
        </w:tblBorders>
        <w:tblCellMar>
          <w:top w:w="180" w:type="dxa"/>
          <w:left w:w="220" w:type="dxa"/>
          <w:bottom w:w="180" w:type="dxa"/>
          <w:right w:w="220" w:type="dxa"/>
        </w:tblCellMar>
      </w:tblPr>
      <w:tblGrid>
        <w:gridCol w:w="9360"/>
      </w:tblGrid>
      <w:tr>
        <w:tc>
          <w:tcPr>
            <w:tcW w:w="9360" w:type="dxa"/>
            <w:shd w:fill="EAF8F0"/>
          </w:tcPr>
          <w:p>
            <w:r>
              <w:rPr>
                <w:b/>
                <w:color w:val="143621"/>
              </w:rPr>
              <w:t>Promessa central: buscar emprego com mais clareza, estratégia e preparo — sem prometer contratação.</w:t>
            </w:r>
          </w:p>
        </w:tc>
      </w:tr>
    </w:tbl>
    <w:p>
      <w:pPr>
        <w:pStyle w:val="Heading1"/>
      </w:pPr>
      <w:r>
        <w:t>Resumo executivo</w:t>
      </w:r>
    </w:p>
    <w:p>
      <w:r>
        <w:t>O VagaAI deve ser percebido como um copiloto de candidatura: uma plataforma premium, clara e acionável que ajuda o usuário a escolher oportunidades, adaptar materiais e avançar com mais preparo.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Clareza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Mostrar se a vaga faz sentido antes de o usuário investir tempo.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Preparo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Transformar análise em currículo, carta e entrevista mais fortes.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Jornada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Conectar vaga, currículo, candidatura e entrevista em um único sistema.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Confiança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Prometer decisões melhores, não contratação garantida.</w:t>
            </w:r>
          </w:p>
        </w:tc>
      </w:tr>
    </w:tbl>
    <w:p>
      <w:pPr>
        <w:pStyle w:val="Heading1"/>
      </w:pPr>
      <w:r>
        <w:t>01 — Introdução da marca</w:t>
      </w:r>
    </w:p>
    <w:p>
      <w:r>
        <w:t>O VagaAI é uma plataforma de inteligência aplicada à busca por emprego. Ele conecta vagas, currículo, candidatura e entrevista em uma jornada única, ajudando profissionais a decidir melhor antes de aplicar.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O que é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Uma plataforma que ajuda profissionais a encontrar vagas alinhadas, analisar aderência, otimizar currículo, gerar carta, rastrear candidaturas e treinar entrevistas.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Por que existe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A busca por emprego ficou digital, competitiva e fragmentada. O candidato precisa lidar com filtros automáticos, currículos genéricos, pouca resposta e entrevistas mais exigentes.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Problema que resolve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Falta de clareza. O usuário muitas vezes não sabe se a vaga combina, o que falta no currículo, quais palavras-chave importam ou qual próximo passo tomar.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Promessa central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Buscar emprego com mais clareza, estratégia e preparo. O VagaAI não promete contratação; promete uma candidatura mais bem direcionada.</w:t>
            </w:r>
          </w:p>
        </w:tc>
      </w:tr>
    </w:tbl>
    <w:tbl>
      <w:tblPr>
        <w:tblW w:w="9360" w:type="dxa"/>
        <w:tblBorders>
          <w:top w:val="single" w:sz="4" w:color="BFE7CF"/>
          <w:left w:val="single" w:sz="12" w:color="4ECE91"/>
          <w:bottom w:val="single" w:sz="4" w:color="BFE7CF"/>
          <w:right w:val="single" w:sz="4" w:color="BFE7CF"/>
        </w:tblBorders>
        <w:tblCellMar>
          <w:top w:w="180" w:type="dxa"/>
          <w:left w:w="220" w:type="dxa"/>
          <w:bottom w:w="180" w:type="dxa"/>
          <w:right w:w="220" w:type="dxa"/>
        </w:tblCellMar>
      </w:tblPr>
      <w:tblGrid>
        <w:gridCol w:w="9360"/>
      </w:tblGrid>
      <w:tr>
        <w:tc>
          <w:tcPr>
            <w:tcW w:w="9360" w:type="dxa"/>
            <w:shd w:fill="EAF8F0"/>
          </w:tcPr>
          <w:p>
            <w:r>
              <w:rPr>
                <w:b/>
                <w:color w:val="143621"/>
              </w:rPr>
              <w:t>Direção guia: o VagaAI ajuda profissionais a buscar emprego com mais clareza, estratégia e preparo, conectando vagas, currículo, candidatura e entrevista em uma jornada única.</w:t>
            </w:r>
          </w:p>
        </w:tc>
      </w:tr>
    </w:tbl>
    <w:p>
      <w:pPr>
        <w:pStyle w:val="Heading1"/>
      </w:pPr>
      <w:r>
        <w:t>02 — Essência da marca</w:t>
      </w:r>
    </w:p>
    <w:p>
      <w:r>
        <w:t>A marca deve agir como um mentor estratégico: clara, premium, confiável e objetiva.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Propósito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Dar mais direção à busca por emprego, ajudando profissionais a tomarem decisões melhores antes de enviar uma candidatura.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Missão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Transformar a candidatura em um processo mais inteligente, mostrando aderência, lacunas e próximo passo mais importante.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Visão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Ser o copiloto de carreira mais confiável para profissionais que querem conquistar novas oportunidades com estratégia.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Personalidade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Mentor estratégico, especialista acessível, copiloto de decisão e ferramenta premium sem arrogância.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Tom emocional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Seguro, encorajador e direto. A marca deve transmitir: você não está perdido; existe um próximo passo claro.</w:t>
            </w:r>
          </w:p>
        </w:tc>
      </w:tr>
    </w:tbl>
    <w:p>
      <w:pPr>
        <w:pStyle w:val="Heading2"/>
      </w:pPr>
      <w:r>
        <w:t>Valores</w:t>
      </w:r>
    </w:p>
    <w:p>
      <w:pPr>
        <w:pStyle w:val="Bullet"/>
      </w:pPr>
      <w:r>
        <w:t>• Clareza acima de volume</w:t>
      </w:r>
    </w:p>
    <w:p>
      <w:pPr>
        <w:pStyle w:val="Bullet"/>
      </w:pPr>
      <w:r>
        <w:t>• Preparo acima de improviso</w:t>
      </w:r>
    </w:p>
    <w:p>
      <w:pPr>
        <w:pStyle w:val="Bullet"/>
      </w:pPr>
      <w:r>
        <w:t>• Honestidade acima de promessa exagerada</w:t>
      </w:r>
    </w:p>
    <w:p>
      <w:pPr>
        <w:pStyle w:val="Bullet"/>
      </w:pPr>
      <w:r>
        <w:t>• Personalização acima de currículo genérico</w:t>
      </w:r>
    </w:p>
    <w:p>
      <w:pPr>
        <w:pStyle w:val="Bullet"/>
      </w:pPr>
      <w:r>
        <w:t>• Tecnologia a serviço da decisão humana</w:t>
      </w:r>
    </w:p>
    <w:p>
      <w:pPr>
        <w:pStyle w:val="Heading1"/>
      </w:pPr>
      <w:r>
        <w:t>03 — Posicionamento</w:t>
      </w:r>
    </w:p>
    <w:p>
      <w:r>
        <w:t>Para profissionais que querem buscar emprego com mais estratégia, o VagaAI é uma plataforma de candidatura inteligente que conecta vagas, currículo, acompanhamento e entrevista em um só lugar.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Público principal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Profissionais em busca ativa, transição de carreira ou troca de emprego que querem aumentar a qualidade das candidaturas enviadas.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Dores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Enviar currículos sem retorno, não saber se a vaga combina, usar currículo genérico, perder tempo com vaga desalinhada e chegar despreparado à entrevista.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Desejos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Conseguir mais entrevistas, se sentir preparado, entender prioridades, organizar candidaturas e adaptar materiais sem inventar experiência.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Diferenciais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Jornada completa, análise por vaga, score de aderência, currículo otimizado, rastreador, alertas, entrevista contextual e carta personalizada.</w:t>
            </w:r>
          </w:p>
        </w:tc>
      </w:tr>
    </w:tbl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00"/>
        <w:gridCol w:w="6760"/>
      </w:tblGrid>
      <w:tr>
        <w:tc>
          <w:tcPr>
            <w:tcW w:w="2600" w:type="dxa"/>
            <w:shd w:fill="0A1A10"/>
          </w:tcPr>
          <w:p>
            <w:r>
              <w:rPr>
                <w:b/>
                <w:color w:val="FFFFFF"/>
                <w:sz w:val="18"/>
              </w:rPr>
              <w:t>O que a marca é / não é</w:t>
            </w:r>
          </w:p>
        </w:tc>
        <w:tc>
          <w:tcPr>
            <w:tcW w:w="6760" w:type="dxa"/>
            <w:shd w:fill="0A1A10"/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É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Copiloto de candidatura; sistema de clareza profissional; ferramenta de preparo; produto premium acessível.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Não é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Garantia de emprego; agência de recrutamento; ferramenta que inventa experiência; atalho mágico para aprovação.</w:t>
            </w:r>
          </w:p>
        </w:tc>
      </w:tr>
    </w:tbl>
    <w:p>
      <w:pPr>
        <w:pStyle w:val="Heading1"/>
      </w:pPr>
      <w:r>
        <w:t>04 — Mensagem central</w:t>
      </w:r>
    </w:p>
    <w:p>
      <w:r>
        <w:t>A mensagem precisa ser direta, útil e realista: clareza antes de aplicar, currículo certo para a vaga certa e preparo para a entrevista.</w:t>
      </w:r>
    </w:p>
    <w:tbl>
      <w:tblPr>
        <w:tblW w:w="9360" w:type="dxa"/>
        <w:tblBorders>
          <w:top w:val="single" w:sz="4" w:color="BFE7CF"/>
          <w:left w:val="single" w:sz="12" w:color="4ECE91"/>
          <w:bottom w:val="single" w:sz="4" w:color="BFE7CF"/>
          <w:right w:val="single" w:sz="4" w:color="BFE7CF"/>
        </w:tblBorders>
        <w:tblCellMar>
          <w:top w:w="180" w:type="dxa"/>
          <w:left w:w="220" w:type="dxa"/>
          <w:bottom w:w="180" w:type="dxa"/>
          <w:right w:w="220" w:type="dxa"/>
        </w:tblCellMar>
      </w:tblPr>
      <w:tblGrid>
        <w:gridCol w:w="9360"/>
      </w:tblGrid>
      <w:tr>
        <w:tc>
          <w:tcPr>
            <w:tcW w:w="9360" w:type="dxa"/>
            <w:shd w:fill="EAF8F0"/>
          </w:tcPr>
          <w:p>
            <w:r>
              <w:rPr>
                <w:b/>
                <w:color w:val="143621"/>
              </w:rPr>
              <w:t>Tagline principal: Passe pelo filtro. Chegue mais forte na entrevista.</w:t>
            </w:r>
          </w:p>
        </w:tc>
      </w:tr>
    </w:tbl>
    <w:p>
      <w:pPr>
        <w:pStyle w:val="Heading2"/>
      </w:pPr>
      <w:r>
        <w:t>Headlines recomendadas</w:t>
      </w:r>
    </w:p>
    <w:p>
      <w:pPr>
        <w:pStyle w:val="Bullet"/>
      </w:pPr>
      <w:r>
        <w:t>• Receba vagas alinhadas ao seu perfil.</w:t>
      </w:r>
    </w:p>
    <w:p>
      <w:pPr>
        <w:pStyle w:val="Bullet"/>
      </w:pPr>
      <w:r>
        <w:t>• Otimize seu currículo para cada oportunidade.</w:t>
      </w:r>
    </w:p>
    <w:p>
      <w:pPr>
        <w:pStyle w:val="Bullet"/>
      </w:pPr>
      <w:r>
        <w:t>• Entenda se essa vaga vale seu tempo.</w:t>
      </w:r>
    </w:p>
    <w:p>
      <w:pPr>
        <w:pStyle w:val="Bullet"/>
      </w:pPr>
      <w:r>
        <w:t>• Pare de enviar currículo no escuro.</w:t>
      </w:r>
    </w:p>
    <w:p>
      <w:pPr>
        <w:pStyle w:val="Bullet"/>
      </w:pPr>
      <w:r>
        <w:t>• Veja onde seu currículo combina com a vaga e onde precisa melhorar.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00"/>
        <w:gridCol w:w="6760"/>
      </w:tblGrid>
      <w:tr>
        <w:tc>
          <w:tcPr>
            <w:tcW w:w="2600" w:type="dxa"/>
            <w:shd w:fill="0A1A10"/>
          </w:tcPr>
          <w:p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w="6760" w:type="dxa"/>
            <w:shd w:fill="0A1A10"/>
          </w:tcPr>
          <w:p>
            <w:r>
              <w:rPr>
                <w:b/>
                <w:color w:val="FFFFFF"/>
                <w:sz w:val="18"/>
              </w:rPr>
              <w:t>Mensagem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Alertas de vagas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Receba oportunidades alinhadas ao cargo, localização, salário e perfil definidos.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Análise de aderência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Veja score, pontos fortes e lacunas antes de se candidatar.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Currículo otimizado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Gere uma versão direcionada para a vaga, sem inventar experiências.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Rastreador de candidaturas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Acompanhe status, prazos e próximas ações de cada oportunidade.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Simulador de entrevista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Treine com perguntas baseadas na vaga, no currículo e nas lacunas identificadas.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Carta de apresentação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Crie uma carta personalizada com foco no que o recrutador precisa entender.</w:t>
            </w:r>
          </w:p>
        </w:tc>
      </w:tr>
    </w:tbl>
    <w:p>
      <w:pPr>
        <w:pStyle w:val="Heading1"/>
      </w:pPr>
      <w:r>
        <w:t>05 — Tom de voz</w:t>
      </w:r>
    </w:p>
    <w:p>
      <w:r>
        <w:t>O VagaAI fala com clareza, sem inflar promessa. A linguagem deve reduzir ansiedade e aumentar direção.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00"/>
        <w:gridCol w:w="6760"/>
      </w:tblGrid>
      <w:tr>
        <w:tc>
          <w:tcPr>
            <w:tcW w:w="2600" w:type="dxa"/>
            <w:shd w:fill="0A1A10"/>
          </w:tcPr>
          <w:p>
            <w:r>
              <w:rPr>
                <w:b/>
                <w:color w:val="FFFFFF"/>
                <w:sz w:val="18"/>
              </w:rPr>
              <w:t>Diretriz</w:t>
            </w:r>
          </w:p>
        </w:tc>
        <w:tc>
          <w:tcPr>
            <w:tcW w:w="6760" w:type="dxa"/>
            <w:shd w:fill="0A1A1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Como fala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Direto, humano, estratégico, simples, premium, confiante e educativo.</w:t>
            </w:r>
          </w:p>
        </w:tc>
      </w:tr>
      <w:tr>
        <w:tc>
          <w:tcPr>
            <w:tcW w:w="2600" w:type="dxa"/>
          </w:tcPr>
          <w:p>
            <w:r>
              <w:rPr>
                <w:color w:val="254B34"/>
                <w:sz w:val="18"/>
              </w:rPr>
              <w:t>Como não fala</w:t>
            </w:r>
          </w:p>
        </w:tc>
        <w:tc>
          <w:tcPr>
            <w:tcW w:w="6760" w:type="dxa"/>
          </w:tcPr>
          <w:p>
            <w:r>
              <w:rPr>
                <w:color w:val="254B34"/>
                <w:sz w:val="18"/>
              </w:rPr>
              <w:t>Promessa milagrosa, medo artificial, jargão técnico excessivo, tom frio ou motivação vazia.</w:t>
            </w:r>
          </w:p>
        </w:tc>
      </w:tr>
    </w:tbl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800"/>
        <w:gridCol w:w="3900"/>
        <w:gridCol w:w="3660"/>
      </w:tblGrid>
      <w:tr>
        <w:tc>
          <w:tcPr>
            <w:tcW w:w="1800" w:type="dxa"/>
            <w:shd w:fill="0A1A10"/>
          </w:tcPr>
          <w:p>
            <w:r>
              <w:rPr>
                <w:b/>
                <w:color w:val="FFFFFF"/>
                <w:sz w:val="18"/>
              </w:rPr>
              <w:t>Contexto</w:t>
            </w:r>
          </w:p>
        </w:tc>
        <w:tc>
          <w:tcPr>
            <w:tcW w:w="3900" w:type="dxa"/>
            <w:shd w:fill="0A1A10"/>
          </w:tcPr>
          <w:p>
            <w:r>
              <w:rPr>
                <w:b/>
                <w:color w:val="FFFFFF"/>
                <w:sz w:val="18"/>
              </w:rPr>
              <w:t>Mais VagaAI</w:t>
            </w:r>
          </w:p>
        </w:tc>
        <w:tc>
          <w:tcPr>
            <w:tcW w:w="3660" w:type="dxa"/>
            <w:shd w:fill="0A1A10"/>
          </w:tcPr>
          <w:p>
            <w:r>
              <w:rPr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Botão</w:t>
            </w:r>
          </w:p>
        </w:tc>
        <w:tc>
          <w:tcPr>
            <w:tcW w:w="3900" w:type="dxa"/>
          </w:tcPr>
          <w:p>
            <w:r>
              <w:rPr>
                <w:color w:val="254B34"/>
                <w:sz w:val="18"/>
              </w:rPr>
              <w:t>Ver minha aderência</w:t>
            </w:r>
          </w:p>
        </w:tc>
        <w:tc>
          <w:tcPr>
            <w:tcW w:w="3660" w:type="dxa"/>
          </w:tcPr>
          <w:p>
            <w:r>
              <w:rPr>
                <w:color w:val="254B34"/>
                <w:sz w:val="18"/>
              </w:rPr>
              <w:t>Garantir aprovação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Empty state</w:t>
            </w:r>
          </w:p>
        </w:tc>
        <w:tc>
          <w:tcPr>
            <w:tcW w:w="3900" w:type="dxa"/>
          </w:tcPr>
          <w:p>
            <w:r>
              <w:rPr>
                <w:color w:val="254B34"/>
                <w:sz w:val="18"/>
              </w:rPr>
              <w:t>Analise uma vaga que você realmente pretende enviar.</w:t>
            </w:r>
          </w:p>
        </w:tc>
        <w:tc>
          <w:tcPr>
            <w:tcW w:w="3660" w:type="dxa"/>
          </w:tcPr>
          <w:p>
            <w:r>
              <w:rPr>
                <w:color w:val="254B34"/>
                <w:sz w:val="18"/>
              </w:rPr>
              <w:t>Você ainda não fez nada.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Erro</w:t>
            </w:r>
          </w:p>
        </w:tc>
        <w:tc>
          <w:tcPr>
            <w:tcW w:w="3900" w:type="dxa"/>
          </w:tcPr>
          <w:p>
            <w:r>
              <w:rPr>
                <w:color w:val="254B34"/>
                <w:sz w:val="18"/>
              </w:rPr>
              <w:t>Não conseguimos carregar essa informação agora. Tente novamente.</w:t>
            </w:r>
          </w:p>
        </w:tc>
        <w:tc>
          <w:tcPr>
            <w:tcW w:w="3660" w:type="dxa"/>
          </w:tcPr>
          <w:p>
            <w:r>
              <w:rPr>
                <w:color w:val="254B34"/>
                <w:sz w:val="18"/>
              </w:rPr>
              <w:t>Erro inesperado.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Upsell</w:t>
            </w:r>
          </w:p>
        </w:tc>
        <w:tc>
          <w:tcPr>
            <w:tcW w:w="3900" w:type="dxa"/>
          </w:tcPr>
          <w:p>
            <w:r>
              <w:rPr>
                <w:color w:val="254B34"/>
                <w:sz w:val="18"/>
              </w:rPr>
              <w:t>No Pro, você acompanha análise, currículo, candidatura e entrevista.</w:t>
            </w:r>
          </w:p>
        </w:tc>
        <w:tc>
          <w:tcPr>
            <w:tcW w:w="3660" w:type="dxa"/>
          </w:tcPr>
          <w:p>
            <w:r>
              <w:rPr>
                <w:color w:val="254B34"/>
                <w:sz w:val="18"/>
              </w:rPr>
              <w:t>Desbloqueie seu sucesso agora.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Landing page</w:t>
            </w:r>
          </w:p>
        </w:tc>
        <w:tc>
          <w:tcPr>
            <w:tcW w:w="3900" w:type="dxa"/>
          </w:tcPr>
          <w:p>
            <w:r>
              <w:rPr>
                <w:color w:val="254B34"/>
                <w:sz w:val="18"/>
              </w:rPr>
              <w:t>Entenda se essa vaga vale seu tempo.</w:t>
            </w:r>
          </w:p>
        </w:tc>
        <w:tc>
          <w:tcPr>
            <w:tcW w:w="3660" w:type="dxa"/>
          </w:tcPr>
          <w:p>
            <w:r>
              <w:rPr>
                <w:color w:val="254B34"/>
                <w:sz w:val="18"/>
              </w:rPr>
              <w:t>Passe em qualquer processo seletivo.</w:t>
            </w:r>
          </w:p>
        </w:tc>
      </w:tr>
    </w:tbl>
    <w:p>
      <w:pPr>
        <w:pStyle w:val="Heading1"/>
      </w:pPr>
      <w:r>
        <w:t>06 — Identidade visual</w:t>
      </w:r>
    </w:p>
    <w:p>
      <w:r>
        <w:t>A identidade deve equilibrar tecnologia, confiança e orientação humana. O verde escuro é a assinatura institucional; o verde brilhante é ação e progresso.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Logo principal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Usar a versão horizontal VagaAI em landing page, e-mails, documentos e materiais comerciais.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Logo reduzida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Usar o ícone V em sidebar, favicon, botões compactos e espaços pequenos.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Tema claro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Garantir leitura sobre fundo off-white ou branco, com verde em contraste suficiente.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Tema escuro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Usar logo clara ou símbolo destacado sobre o verde institucional.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Área de respiro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Manter no mínimo a altura do símbolo V como margem ao redor da logo.</w:t>
            </w:r>
          </w:p>
        </w:tc>
      </w:tr>
    </w:tbl>
    <w:p>
      <w:pPr>
        <w:pStyle w:val="Heading1"/>
      </w:pPr>
      <w:r>
        <w:t>07 — Cores da marca</w:t>
      </w:r>
    </w:p>
    <w:p>
      <w:r>
        <w:t>As cores devem ter função: verde para direção e avanço; âmbar para atenção; vermelho para erro; neutros para legibilidade.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1700"/>
        <w:gridCol w:w="5260"/>
      </w:tblGrid>
      <w:tr>
        <w:tc>
          <w:tcPr>
            <w:tcW w:w="2400" w:type="dxa"/>
            <w:shd w:fill="0A1A10"/>
          </w:tcPr>
          <w:p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w="1700" w:type="dxa"/>
            <w:shd w:fill="0A1A10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w="5260" w:type="dxa"/>
            <w:shd w:fill="0A1A10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Verde VagaAI</w:t>
            </w:r>
          </w:p>
        </w:tc>
        <w:tc>
          <w:tcPr>
            <w:tcW w:w="1700" w:type="dxa"/>
          </w:tcPr>
          <w:p>
            <w:r>
              <w:rPr>
                <w:color w:val="254B34"/>
                <w:sz w:val="18"/>
              </w:rPr>
              <w:t>#4ECE91</w:t>
            </w:r>
          </w:p>
        </w:tc>
        <w:tc>
          <w:tcPr>
            <w:tcW w:w="5260" w:type="dxa"/>
          </w:tcPr>
          <w:p>
            <w:r>
              <w:rPr>
                <w:color w:val="254B34"/>
                <w:sz w:val="18"/>
              </w:rPr>
              <w:t>Ação, progresso, destaque positivo.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Verde institucional</w:t>
            </w:r>
          </w:p>
        </w:tc>
        <w:tc>
          <w:tcPr>
            <w:tcW w:w="1700" w:type="dxa"/>
          </w:tcPr>
          <w:p>
            <w:r>
              <w:rPr>
                <w:color w:val="254B34"/>
                <w:sz w:val="18"/>
              </w:rPr>
              <w:t>#0A1A10</w:t>
            </w:r>
          </w:p>
        </w:tc>
        <w:tc>
          <w:tcPr>
            <w:tcW w:w="5260" w:type="dxa"/>
          </w:tcPr>
          <w:p>
            <w:r>
              <w:rPr>
                <w:color w:val="254B34"/>
                <w:sz w:val="18"/>
              </w:rPr>
              <w:t>Sidebar, áreas premium, assinatura da marca.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Verde ação</w:t>
            </w:r>
          </w:p>
        </w:tc>
        <w:tc>
          <w:tcPr>
            <w:tcW w:w="1700" w:type="dxa"/>
          </w:tcPr>
          <w:p>
            <w:r>
              <w:rPr>
                <w:color w:val="254B34"/>
                <w:sz w:val="18"/>
              </w:rPr>
              <w:t>#1A7A4A</w:t>
            </w:r>
          </w:p>
        </w:tc>
        <w:tc>
          <w:tcPr>
            <w:tcW w:w="5260" w:type="dxa"/>
          </w:tcPr>
          <w:p>
            <w:r>
              <w:rPr>
                <w:color w:val="254B34"/>
                <w:sz w:val="18"/>
              </w:rPr>
              <w:t>CTAs e estados ativos.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Fundo claro premium</w:t>
            </w:r>
          </w:p>
        </w:tc>
        <w:tc>
          <w:tcPr>
            <w:tcW w:w="1700" w:type="dxa"/>
          </w:tcPr>
          <w:p>
            <w:r>
              <w:rPr>
                <w:color w:val="254B34"/>
                <w:sz w:val="18"/>
              </w:rPr>
              <w:t>#F5F7F5</w:t>
            </w:r>
          </w:p>
        </w:tc>
        <w:tc>
          <w:tcPr>
            <w:tcW w:w="5260" w:type="dxa"/>
          </w:tcPr>
          <w:p>
            <w:r>
              <w:rPr>
                <w:color w:val="254B34"/>
                <w:sz w:val="18"/>
              </w:rPr>
              <w:t>Base do app e materiais.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Atenção</w:t>
            </w:r>
          </w:p>
        </w:tc>
        <w:tc>
          <w:tcPr>
            <w:tcW w:w="1700" w:type="dxa"/>
          </w:tcPr>
          <w:p>
            <w:r>
              <w:rPr>
                <w:color w:val="254B34"/>
                <w:sz w:val="18"/>
              </w:rPr>
              <w:t>#C47D0A</w:t>
            </w:r>
          </w:p>
        </w:tc>
        <w:tc>
          <w:tcPr>
            <w:tcW w:w="5260" w:type="dxa"/>
          </w:tcPr>
          <w:p>
            <w:r>
              <w:rPr>
                <w:color w:val="254B34"/>
                <w:sz w:val="18"/>
              </w:rPr>
              <w:t>Lacunas, ajustes e score médio.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Erro</w:t>
            </w:r>
          </w:p>
        </w:tc>
        <w:tc>
          <w:tcPr>
            <w:tcW w:w="1700" w:type="dxa"/>
          </w:tcPr>
          <w:p>
            <w:r>
              <w:rPr>
                <w:color w:val="254B34"/>
                <w:sz w:val="18"/>
              </w:rPr>
              <w:t>#D94F4F</w:t>
            </w:r>
          </w:p>
        </w:tc>
        <w:tc>
          <w:tcPr>
            <w:tcW w:w="5260" w:type="dxa"/>
          </w:tcPr>
          <w:p>
            <w:r>
              <w:rPr>
                <w:color w:val="254B34"/>
                <w:sz w:val="18"/>
              </w:rPr>
              <w:t>Falhas, remoções e score baixo.</w:t>
            </w:r>
          </w:p>
        </w:tc>
      </w:tr>
    </w:tbl>
    <w:p>
      <w:pPr>
        <w:pStyle w:val="Heading1"/>
      </w:pPr>
      <w:r>
        <w:t>08 — Tipografia</w:t>
      </w:r>
    </w:p>
    <w:p>
      <w:r>
        <w:t>A tipografia precisa transmitir sofisticação sem prejudicar leitura. O produto não deve parecer uma fintech microscópica.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700"/>
        <w:gridCol w:w="3800"/>
        <w:gridCol w:w="3860"/>
      </w:tblGrid>
      <w:tr>
        <w:tc>
          <w:tcPr>
            <w:tcW w:w="1700" w:type="dxa"/>
            <w:shd w:fill="0A1A10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800" w:type="dxa"/>
            <w:shd w:fill="0A1A10"/>
          </w:tcPr>
          <w:p>
            <w:r>
              <w:rPr>
                <w:b/>
                <w:color w:val="FFFFFF"/>
                <w:sz w:val="18"/>
              </w:rPr>
              <w:t>Recomendação</w:t>
            </w:r>
          </w:p>
        </w:tc>
        <w:tc>
          <w:tcPr>
            <w:tcW w:w="3860" w:type="dxa"/>
            <w:shd w:fill="0A1A10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w="1700" w:type="dxa"/>
          </w:tcPr>
          <w:p>
            <w:r>
              <w:rPr>
                <w:color w:val="254B34"/>
                <w:sz w:val="18"/>
              </w:rPr>
              <w:t>Principal</w:t>
            </w:r>
          </w:p>
        </w:tc>
        <w:tc>
          <w:tcPr>
            <w:tcW w:w="3800" w:type="dxa"/>
          </w:tcPr>
          <w:p>
            <w:r>
              <w:rPr>
                <w:color w:val="254B34"/>
                <w:sz w:val="18"/>
              </w:rPr>
              <w:t>Inter, Manrope ou similar sem serifa</w:t>
            </w:r>
          </w:p>
        </w:tc>
        <w:tc>
          <w:tcPr>
            <w:tcW w:w="3860" w:type="dxa"/>
          </w:tcPr>
          <w:p>
            <w:r>
              <w:rPr>
                <w:color w:val="254B34"/>
                <w:sz w:val="18"/>
              </w:rPr>
              <w:t>Interface, corpo, menus, botões e formulários.</w:t>
            </w:r>
          </w:p>
        </w:tc>
      </w:tr>
      <w:tr>
        <w:tc>
          <w:tcPr>
            <w:tcW w:w="1700" w:type="dxa"/>
          </w:tcPr>
          <w:p>
            <w:r>
              <w:rPr>
                <w:color w:val="254B34"/>
                <w:sz w:val="18"/>
              </w:rPr>
              <w:t>Secundária</w:t>
            </w:r>
          </w:p>
        </w:tc>
        <w:tc>
          <w:tcPr>
            <w:tcW w:w="3800" w:type="dxa"/>
          </w:tcPr>
          <w:p>
            <w:r>
              <w:rPr>
                <w:color w:val="254B34"/>
                <w:sz w:val="18"/>
              </w:rPr>
              <w:t>Lora, Georgia, Playfair Display ou similar</w:t>
            </w:r>
          </w:p>
        </w:tc>
        <w:tc>
          <w:tcPr>
            <w:tcW w:w="3860" w:type="dxa"/>
          </w:tcPr>
          <w:p>
            <w:r>
              <w:rPr>
                <w:color w:val="254B34"/>
                <w:sz w:val="18"/>
              </w:rPr>
              <w:t>Headlines, landing page e momentos editoriais.</w:t>
            </w:r>
          </w:p>
        </w:tc>
      </w:tr>
      <w:tr>
        <w:tc>
          <w:tcPr>
            <w:tcW w:w="1700" w:type="dxa"/>
          </w:tcPr>
          <w:p>
            <w:r>
              <w:rPr>
                <w:color w:val="254B34"/>
                <w:sz w:val="18"/>
              </w:rPr>
              <w:t>H1</w:t>
            </w:r>
          </w:p>
        </w:tc>
        <w:tc>
          <w:tcPr>
            <w:tcW w:w="3800" w:type="dxa"/>
          </w:tcPr>
          <w:p>
            <w:r>
              <w:rPr>
                <w:color w:val="254B34"/>
                <w:sz w:val="18"/>
              </w:rPr>
              <w:t>40–56px desktop / 32–38px mobile</w:t>
            </w:r>
          </w:p>
        </w:tc>
        <w:tc>
          <w:tcPr>
            <w:tcW w:w="3860" w:type="dxa"/>
          </w:tcPr>
          <w:p>
            <w:r>
              <w:rPr>
                <w:color w:val="254B34"/>
                <w:sz w:val="18"/>
              </w:rPr>
              <w:t>Títulos curtos, fortes e com respiro.</w:t>
            </w:r>
          </w:p>
        </w:tc>
      </w:tr>
      <w:tr>
        <w:tc>
          <w:tcPr>
            <w:tcW w:w="1700" w:type="dxa"/>
          </w:tcPr>
          <w:p>
            <w:r>
              <w:rPr>
                <w:color w:val="254B34"/>
                <w:sz w:val="18"/>
              </w:rPr>
              <w:t>Corpo</w:t>
            </w:r>
          </w:p>
        </w:tc>
        <w:tc>
          <w:tcPr>
            <w:tcW w:w="3800" w:type="dxa"/>
          </w:tcPr>
          <w:p>
            <w:r>
              <w:rPr>
                <w:color w:val="254B34"/>
                <w:sz w:val="18"/>
              </w:rPr>
              <w:t>15–17px, linha 1.5–1.7</w:t>
            </w:r>
          </w:p>
        </w:tc>
        <w:tc>
          <w:tcPr>
            <w:tcW w:w="3860" w:type="dxa"/>
          </w:tcPr>
          <w:p>
            <w:r>
              <w:rPr>
                <w:color w:val="254B34"/>
                <w:sz w:val="18"/>
              </w:rPr>
              <w:t>Texto funcional confortável.</w:t>
            </w:r>
          </w:p>
        </w:tc>
      </w:tr>
      <w:tr>
        <w:tc>
          <w:tcPr>
            <w:tcW w:w="1700" w:type="dxa"/>
          </w:tcPr>
          <w:p>
            <w:r>
              <w:rPr>
                <w:color w:val="254B34"/>
                <w:sz w:val="18"/>
              </w:rPr>
              <w:t>Microcopy</w:t>
            </w:r>
          </w:p>
        </w:tc>
        <w:tc>
          <w:tcPr>
            <w:tcW w:w="3800" w:type="dxa"/>
          </w:tcPr>
          <w:p>
            <w:r>
              <w:rPr>
                <w:color w:val="254B34"/>
                <w:sz w:val="18"/>
              </w:rPr>
              <w:t>12–13px</w:t>
            </w:r>
          </w:p>
        </w:tc>
        <w:tc>
          <w:tcPr>
            <w:tcW w:w="3860" w:type="dxa"/>
          </w:tcPr>
          <w:p>
            <w:r>
              <w:rPr>
                <w:color w:val="254B34"/>
                <w:sz w:val="18"/>
              </w:rPr>
              <w:t>Nunca usar cinza claro demais em informação importante.</w:t>
            </w:r>
          </w:p>
        </w:tc>
      </w:tr>
    </w:tbl>
    <w:p>
      <w:pPr>
        <w:pStyle w:val="Heading1"/>
      </w:pPr>
      <w:r>
        <w:t>09 — Sistema visual do produto</w:t>
      </w:r>
    </w:p>
    <w:p>
      <w:r>
        <w:t>O sistema visual deve deixar a jornada óbvia: o usuário precisa entender onde está, o que aconteceu e qual ação tomar.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Cards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Bordas médias, sombra leve, agrupamento claro e ação principal evidente.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Botões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Primário verde sólido; secundário claro com borda; perigo discreto com ícone.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Badges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Pequenos, semânticos e consistentes: Pro, Analisada, Entrevista, CV otimizado.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Menus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Sidebar escura no desktop; menu inferior e hambúrguer no mobile.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Modais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Overlay suave, título claro, texto curto e botões objetivos.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Listas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Score visual, status claro, próxima ação destacada e painel lateral de detalhes.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Motion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Score preenchendo, cards entrando, alertas chegando e loading inteligente.</w:t>
            </w:r>
          </w:p>
        </w:tc>
      </w:tr>
    </w:tbl>
    <w:p>
      <w:pPr>
        <w:pStyle w:val="Heading1"/>
      </w:pPr>
      <w:r>
        <w:t>10 — Mockups, imagens e ilustrações</w:t>
      </w:r>
    </w:p>
    <w:p>
      <w:r>
        <w:t>Mockups devem vender entendimento, não decorar. Toda representação visual precisa mostrar uma ação real do produto.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Como devem ser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Baseados em telas reais, com dados plausíveis, fluxo claro e hierarquia objetiva.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Representar análise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Score, lacunas, keywords, prioridade e CTA para otimizar currículo.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Representar candidaturas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Status, próxima ação, histórico e oportunidade selecionada.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Representar entrevista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Pergunta contextual, campo de resposta, feedback e progresso.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Evitar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Imagens genéricas, personagens sem contexto, mockups irreais e enfeites sem função.</w:t>
            </w:r>
          </w:p>
        </w:tc>
      </w:tr>
    </w:tbl>
    <w:p>
      <w:pPr>
        <w:pStyle w:val="Heading1"/>
      </w:pPr>
      <w:r>
        <w:t>11 — Comunicação por jornada</w:t>
      </w:r>
    </w:p>
    <w:p>
      <w:r>
        <w:t>A comunicação deve acompanhar o momento do usuário. Cada tela precisa responder: o que aconteceu, por que importa e o que fazer agora.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6960"/>
      </w:tblGrid>
      <w:tr>
        <w:tc>
          <w:tcPr>
            <w:tcW w:w="2400" w:type="dxa"/>
            <w:shd w:fill="0A1A10"/>
          </w:tcPr>
          <w:p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w="6960" w:type="dxa"/>
            <w:shd w:fill="0A1A10"/>
          </w:tcPr>
          <w:p>
            <w:r>
              <w:rPr>
                <w:b/>
                <w:color w:val="FFFFFF"/>
                <w:sz w:val="18"/>
              </w:rPr>
              <w:t>Mensagem orientadora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Primeiro acesso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Comece analisando uma vaga que você realmente pretende enviar.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Primeira análise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Comparamos a vaga com seu currículo para mostrar pontos fortes e lacunas.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Resultado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Sua aderência atual é X%. Veja os principais ajustes para fortalecer sua candidatura.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Currículo otimizado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Seu currículo foi adaptado para esta vaga. Revise ou baixe a versão final.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Candidatura rastreada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Esta oportunidade foi adicionada ao rastreador para acompanhar próximos passos.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Alerta recebido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Encontramos vagas compatíveis com o perfil que você definiu.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Entrevista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Treine perguntas baseadas na vaga, no currículo e no que a empresa pode investigar.</w:t>
            </w:r>
          </w:p>
        </w:tc>
      </w:tr>
      <w:tr>
        <w:tc>
          <w:tcPr>
            <w:tcW w:w="2400" w:type="dxa"/>
          </w:tcPr>
          <w:p>
            <w:r>
              <w:rPr>
                <w:color w:val="254B34"/>
                <w:sz w:val="18"/>
              </w:rPr>
              <w:t>Upgrade</w:t>
            </w:r>
          </w:p>
        </w:tc>
        <w:tc>
          <w:tcPr>
            <w:tcW w:w="6960" w:type="dxa"/>
          </w:tcPr>
          <w:p>
            <w:r>
              <w:rPr>
                <w:color w:val="254B34"/>
                <w:sz w:val="18"/>
              </w:rPr>
              <w:t>Seu plano atual permite começar. O Pro libera a jornada completa.</w:t>
            </w:r>
          </w:p>
        </w:tc>
      </w:tr>
    </w:tbl>
    <w:p>
      <w:pPr>
        <w:pStyle w:val="Heading1"/>
      </w:pPr>
      <w:r>
        <w:t>12 — Planos e comunicação comercial</w:t>
      </w:r>
    </w:p>
    <w:p>
      <w:r>
        <w:t>A comunicação comercial deve vender continuidade de jornada, não pressão. O usuário precisa entender o que ganha em cada plano.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600"/>
        <w:gridCol w:w="2400"/>
        <w:gridCol w:w="5360"/>
      </w:tblGrid>
      <w:tr>
        <w:tc>
          <w:tcPr>
            <w:tcW w:w="1600" w:type="dxa"/>
            <w:shd w:fill="0A1A10"/>
          </w:tcPr>
          <w:p>
            <w:r>
              <w:rPr>
                <w:b/>
                <w:color w:val="FFFFFF"/>
                <w:sz w:val="18"/>
              </w:rPr>
              <w:t>Plano</w:t>
            </w:r>
          </w:p>
        </w:tc>
        <w:tc>
          <w:tcPr>
            <w:tcW w:w="2400" w:type="dxa"/>
            <w:shd w:fill="0A1A10"/>
          </w:tcPr>
          <w:p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5360" w:type="dxa"/>
            <w:shd w:fill="0A1A10"/>
          </w:tcPr>
          <w:p>
            <w:r>
              <w:rPr>
                <w:b/>
                <w:color w:val="FFFFFF"/>
                <w:sz w:val="18"/>
              </w:rPr>
              <w:t>Mensagem</w:t>
            </w:r>
          </w:p>
        </w:tc>
      </w:tr>
      <w:tr>
        <w:tc>
          <w:tcPr>
            <w:tcW w:w="1600" w:type="dxa"/>
          </w:tcPr>
          <w:p>
            <w:r>
              <w:rPr>
                <w:color w:val="254B34"/>
                <w:sz w:val="18"/>
              </w:rPr>
              <w:t>Free</w:t>
            </w:r>
          </w:p>
        </w:tc>
        <w:tc>
          <w:tcPr>
            <w:tcW w:w="2400" w:type="dxa"/>
          </w:tcPr>
          <w:p>
            <w:r>
              <w:rPr>
                <w:color w:val="254B34"/>
                <w:sz w:val="18"/>
              </w:rPr>
              <w:t>Entrada e ativação</w:t>
            </w:r>
          </w:p>
        </w:tc>
        <w:tc>
          <w:tcPr>
            <w:tcW w:w="5360" w:type="dxa"/>
          </w:tcPr>
          <w:p>
            <w:r>
              <w:rPr>
                <w:color w:val="254B34"/>
                <w:sz w:val="18"/>
              </w:rPr>
              <w:t>Teste o VagaAI e entenda o valor de analisar uma vaga antes de se candidatar.</w:t>
            </w:r>
          </w:p>
        </w:tc>
      </w:tr>
      <w:tr>
        <w:tc>
          <w:tcPr>
            <w:tcW w:w="1600" w:type="dxa"/>
          </w:tcPr>
          <w:p>
            <w:r>
              <w:rPr>
                <w:color w:val="254B34"/>
                <w:sz w:val="18"/>
              </w:rPr>
              <w:t>Starter</w:t>
            </w:r>
          </w:p>
        </w:tc>
        <w:tc>
          <w:tcPr>
            <w:tcW w:w="2400" w:type="dxa"/>
          </w:tcPr>
          <w:p>
            <w:r>
              <w:rPr>
                <w:color w:val="254B34"/>
                <w:sz w:val="18"/>
              </w:rPr>
              <w:t>Uso recorrente leve</w:t>
            </w:r>
          </w:p>
        </w:tc>
        <w:tc>
          <w:tcPr>
            <w:tcW w:w="5360" w:type="dxa"/>
          </w:tcPr>
          <w:p>
            <w:r>
              <w:rPr>
                <w:color w:val="254B34"/>
                <w:sz w:val="18"/>
              </w:rPr>
              <w:t>Para quem quer buscar emprego com mais frequência e parar de aplicar no escuro.</w:t>
            </w:r>
          </w:p>
        </w:tc>
      </w:tr>
      <w:tr>
        <w:tc>
          <w:tcPr>
            <w:tcW w:w="1600" w:type="dxa"/>
          </w:tcPr>
          <w:p>
            <w:r>
              <w:rPr>
                <w:color w:val="254B34"/>
                <w:sz w:val="18"/>
              </w:rPr>
              <w:t>Pro</w:t>
            </w:r>
          </w:p>
        </w:tc>
        <w:tc>
          <w:tcPr>
            <w:tcW w:w="2400" w:type="dxa"/>
          </w:tcPr>
          <w:p>
            <w:r>
              <w:rPr>
                <w:color w:val="254B34"/>
                <w:sz w:val="18"/>
              </w:rPr>
              <w:t>Sistema completo</w:t>
            </w:r>
          </w:p>
        </w:tc>
        <w:tc>
          <w:tcPr>
            <w:tcW w:w="5360" w:type="dxa"/>
          </w:tcPr>
          <w:p>
            <w:r>
              <w:rPr>
                <w:color w:val="254B34"/>
                <w:sz w:val="18"/>
              </w:rPr>
              <w:t>Para quem quer usar o VagaAI como central da busca por emprego.</w:t>
            </w:r>
          </w:p>
        </w:tc>
      </w:tr>
    </w:tbl>
    <w:p>
      <w:pPr>
        <w:pStyle w:val="Heading1"/>
      </w:pPr>
      <w:r>
        <w:t>13 — Aplicações da marca</w:t>
      </w:r>
    </w:p>
    <w:p>
      <w:r>
        <w:t>A marca precisa se comportar de forma consistente em landing page, app, e-mails, anúncios, Instagram, PDFs e apresentações.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0A1A10"/>
          </w:tcPr>
          <w:p>
            <w:r>
              <w:rPr>
                <w:b/>
                <w:color w:val="FFFFFF"/>
                <w:sz w:val="18"/>
              </w:rPr>
              <w:t>Aplicação</w:t>
            </w:r>
          </w:p>
        </w:tc>
        <w:tc>
          <w:tcPr>
            <w:tcW w:w="7160" w:type="dxa"/>
            <w:shd w:fill="0A1A10"/>
          </w:tcPr>
          <w:p>
            <w:r>
              <w:rPr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Landing page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Headline direta, mockups reais, benefícios concretos e objeções claras.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Dashboard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Próxima melhor ação, candidaturas, alertas, metas úteis e pouca repetição.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Mobile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Menu inferior, hambúrguer, botões grandes e textos confortáveis.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E-mails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Curtos, com uma ação principal e baseados em oportunidade ou progresso.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Instagram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Dor do candidato, ATS, currículo, bastidores do recrutamento e uso do produto.</w:t>
            </w:r>
          </w:p>
        </w:tc>
      </w:tr>
      <w:tr>
        <w:tc>
          <w:tcPr>
            <w:tcW w:w="2200" w:type="dxa"/>
          </w:tcPr>
          <w:p>
            <w:r>
              <w:rPr>
                <w:color w:val="254B34"/>
                <w:sz w:val="18"/>
              </w:rPr>
              <w:t>PDFs e currículos</w:t>
            </w:r>
          </w:p>
        </w:tc>
        <w:tc>
          <w:tcPr>
            <w:tcW w:w="7160" w:type="dxa"/>
          </w:tcPr>
          <w:p>
            <w:r>
              <w:rPr>
                <w:color w:val="254B34"/>
                <w:sz w:val="18"/>
              </w:rPr>
              <w:t>A4 correto, legível, limpo e profissional acima de decorativo.</w:t>
            </w:r>
          </w:p>
        </w:tc>
      </w:tr>
    </w:tbl>
    <w:p>
      <w:pPr>
        <w:pStyle w:val="Heading1"/>
      </w:pPr>
      <w:r>
        <w:t>14 — Exemplos práticos</w:t>
      </w:r>
    </w:p>
    <w:p>
      <w:r>
        <w:t>Exemplos prontos ajudam a manter consistência entre produto, marketing e suporte.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800"/>
        <w:gridCol w:w="3600"/>
        <w:gridCol w:w="3960"/>
      </w:tblGrid>
      <w:tr>
        <w:tc>
          <w:tcPr>
            <w:tcW w:w="1800" w:type="dxa"/>
            <w:shd w:fill="0A1A10"/>
          </w:tcPr>
          <w:p>
            <w:r>
              <w:rPr>
                <w:b/>
                <w:color w:val="FFFFFF"/>
                <w:sz w:val="18"/>
              </w:rPr>
              <w:t>Peça</w:t>
            </w:r>
          </w:p>
        </w:tc>
        <w:tc>
          <w:tcPr>
            <w:tcW w:w="3600" w:type="dxa"/>
            <w:shd w:fill="0A1A10"/>
          </w:tcPr>
          <w:p>
            <w:r>
              <w:rPr>
                <w:b/>
                <w:color w:val="FFFFFF"/>
                <w:sz w:val="18"/>
              </w:rPr>
              <w:t>Texto principal</w:t>
            </w:r>
          </w:p>
        </w:tc>
        <w:tc>
          <w:tcPr>
            <w:tcW w:w="3960" w:type="dxa"/>
            <w:shd w:fill="0A1A10"/>
          </w:tcPr>
          <w:p>
            <w:r>
              <w:rPr>
                <w:b/>
                <w:color w:val="FFFFFF"/>
                <w:sz w:val="18"/>
              </w:rPr>
              <w:t>Apoio/CTA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Seção de LP</w:t>
            </w:r>
          </w:p>
        </w:tc>
        <w:tc>
          <w:tcPr>
            <w:tcW w:w="3600" w:type="dxa"/>
          </w:tcPr>
          <w:p>
            <w:r>
              <w:rPr>
                <w:color w:val="254B34"/>
                <w:sz w:val="18"/>
              </w:rPr>
              <w:t>Antes de enviar o currículo, entenda se a vaga combina com você.</w:t>
            </w:r>
          </w:p>
        </w:tc>
        <w:tc>
          <w:tcPr>
            <w:tcW w:w="3960" w:type="dxa"/>
          </w:tcPr>
          <w:p>
            <w:r>
              <w:rPr>
                <w:color w:val="254B34"/>
                <w:sz w:val="18"/>
              </w:rPr>
              <w:t>O VagaAI compara a descrição da vaga com seu currículo, identifica lacunas e mostra ajustes para fortalecer sua candidatura.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Card do app</w:t>
            </w:r>
          </w:p>
        </w:tc>
        <w:tc>
          <w:tcPr>
            <w:tcW w:w="3600" w:type="dxa"/>
          </w:tcPr>
          <w:p>
            <w:r>
              <w:rPr>
                <w:color w:val="254B34"/>
                <w:sz w:val="18"/>
              </w:rPr>
              <w:t>Próxima melhor ação</w:t>
            </w:r>
          </w:p>
        </w:tc>
        <w:tc>
          <w:tcPr>
            <w:tcW w:w="3960" w:type="dxa"/>
          </w:tcPr>
          <w:p>
            <w:r>
              <w:rPr>
                <w:color w:val="254B34"/>
                <w:sz w:val="18"/>
              </w:rPr>
              <w:t>Seu currículo ainda não destaca 4 requisitos importantes para esta vaga.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E-mail de alerta</w:t>
            </w:r>
          </w:p>
        </w:tc>
        <w:tc>
          <w:tcPr>
            <w:tcW w:w="3600" w:type="dxa"/>
          </w:tcPr>
          <w:p>
            <w:r>
              <w:rPr>
                <w:color w:val="254B34"/>
                <w:sz w:val="18"/>
              </w:rPr>
              <w:t>Encontramos vagas compatíveis com seu perfil</w:t>
            </w:r>
          </w:p>
        </w:tc>
        <w:tc>
          <w:tcPr>
            <w:tcW w:w="3960" w:type="dxa"/>
          </w:tcPr>
          <w:p>
            <w:r>
              <w:rPr>
                <w:color w:val="254B34"/>
                <w:sz w:val="18"/>
              </w:rPr>
              <w:t>Selecionamos oportunidades com base no cargo, localização e preferências que você definiu.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Notificação</w:t>
            </w:r>
          </w:p>
        </w:tc>
        <w:tc>
          <w:tcPr>
            <w:tcW w:w="3600" w:type="dxa"/>
          </w:tcPr>
          <w:p>
            <w:r>
              <w:rPr>
                <w:color w:val="254B34"/>
                <w:sz w:val="18"/>
              </w:rPr>
              <w:t>Nova vaga com 82% de aderência encontrada.</w:t>
            </w:r>
          </w:p>
        </w:tc>
        <w:tc>
          <w:tcPr>
            <w:tcW w:w="3960" w:type="dxa"/>
          </w:tcPr>
          <w:p>
            <w:r>
              <w:rPr>
                <w:color w:val="254B34"/>
                <w:sz w:val="18"/>
              </w:rPr>
              <w:t>Analisar vaga agora</w:t>
            </w:r>
          </w:p>
        </w:tc>
      </w:tr>
      <w:tr>
        <w:tc>
          <w:tcPr>
            <w:tcW w:w="1800" w:type="dxa"/>
          </w:tcPr>
          <w:p>
            <w:r>
              <w:rPr>
                <w:color w:val="254B34"/>
                <w:sz w:val="18"/>
              </w:rPr>
              <w:t>Post</w:t>
            </w:r>
          </w:p>
        </w:tc>
        <w:tc>
          <w:tcPr>
            <w:tcW w:w="3600" w:type="dxa"/>
          </w:tcPr>
          <w:p>
            <w:r>
              <w:rPr>
                <w:color w:val="254B34"/>
                <w:sz w:val="18"/>
              </w:rPr>
              <w:t>Mandar mais currículos nem sempre aumenta suas chances.</w:t>
            </w:r>
          </w:p>
        </w:tc>
        <w:tc>
          <w:tcPr>
            <w:tcW w:w="3960" w:type="dxa"/>
          </w:tcPr>
          <w:p>
            <w:r>
              <w:rPr>
                <w:color w:val="254B34"/>
                <w:sz w:val="18"/>
              </w:rPr>
              <w:t>Antes de aplicar, entenda onde você está forte e onde precisa ajustar.</w:t>
            </w:r>
          </w:p>
        </w:tc>
      </w:tr>
    </w:tbl>
    <w:p>
      <w:pPr>
        <w:pStyle w:val="Heading1"/>
      </w:pPr>
      <w:r>
        <w:t>15 — Checklist de consistência</w:t>
      </w:r>
    </w:p>
    <w:p>
      <w:r>
        <w:t>Antes de publicar qualquer tela, texto ou campanha, usar este checklist como filtro de qualidade.</w:t>
      </w:r>
    </w:p>
    <w:p>
      <w:pPr>
        <w:pStyle w:val="Bullet"/>
      </w:pPr>
      <w:r>
        <w:t>• A mensagem está clara em até 5 segundos?</w:t>
      </w:r>
    </w:p>
    <w:p>
      <w:pPr>
        <w:pStyle w:val="Bullet"/>
      </w:pPr>
      <w:r>
        <w:t>• A promessa é realista e evita garantir emprego?</w:t>
      </w:r>
    </w:p>
    <w:p>
      <w:pPr>
        <w:pStyle w:val="Bullet"/>
      </w:pPr>
      <w:r>
        <w:t>• O texto ajuda o usuário a tomar uma decisão?</w:t>
      </w:r>
    </w:p>
    <w:p>
      <w:pPr>
        <w:pStyle w:val="Bullet"/>
      </w:pPr>
      <w:r>
        <w:t>• O próximo passo está evidente?</w:t>
      </w:r>
    </w:p>
    <w:p>
      <w:pPr>
        <w:pStyle w:val="Bullet"/>
      </w:pPr>
      <w:r>
        <w:t>• O visual parece premium sem ficar pesado?</w:t>
      </w:r>
    </w:p>
    <w:p>
      <w:pPr>
        <w:pStyle w:val="Bullet"/>
      </w:pPr>
      <w:r>
        <w:t>• A cor usada tem função?</w:t>
      </w:r>
    </w:p>
    <w:p>
      <w:pPr>
        <w:pStyle w:val="Bullet"/>
      </w:pPr>
      <w:r>
        <w:t>• O componente reduz esforço ou só decora?</w:t>
      </w:r>
    </w:p>
    <w:p>
      <w:pPr>
        <w:pStyle w:val="Bullet"/>
      </w:pPr>
      <w:r>
        <w:t>• A comunicação respeita o plano do usuário?</w:t>
      </w:r>
    </w:p>
    <w:p>
      <w:pPr>
        <w:pStyle w:val="Bullet"/>
      </w:pPr>
      <w:r>
        <w:t>• O mobile está legível?</w:t>
      </w:r>
    </w:p>
    <w:p>
      <w:pPr>
        <w:pStyle w:val="Bullet"/>
      </w:pPr>
      <w:r>
        <w:t>• O fluxo continua a jornada ou cria uma quebra?</w:t>
      </w:r>
    </w:p>
    <w:p>
      <w:pPr>
        <w:pStyle w:val="Heading1"/>
      </w:pPr>
      <w:r>
        <w:t>Base estratégica de mercado</w:t>
      </w:r>
    </w:p>
    <w:p>
      <w:r>
        <w:t>O posicionamento do VagaAI parte de um mercado de trabalho competitivo, digitalizado e mediado por tecnologia. O candidato não precisa apenas de mais vagas; precisa de clareza para escolher, adaptar, acompanhar e se preparar melhor.</w:t>
      </w:r>
    </w:p>
    <w:tbl>
      <w:tblPr>
        <w:tblW w:w="9360" w:type="dxa"/>
        <w:tblBorders>
          <w:top w:val="single" w:sz="4" w:color="DDE8E2"/>
          <w:left w:val="single" w:sz="4" w:color="DDE8E2"/>
          <w:bottom w:val="single" w:sz="4" w:color="DDE8E2"/>
          <w:right w:val="single" w:sz="4" w:color="DDE8E2"/>
          <w:insideH w:val="single" w:sz="4" w:color="DDE8E2"/>
          <w:insideV w:val="single" w:sz="4" w:color="DDE8E2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00"/>
        <w:gridCol w:w="6060"/>
      </w:tblGrid>
      <w:tr>
        <w:tc>
          <w:tcPr>
            <w:tcW w:w="3300" w:type="dxa"/>
            <w:shd w:fill="0A1A10"/>
          </w:tcPr>
          <w:p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6060" w:type="dxa"/>
            <w:shd w:fill="0A1A10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w="3300" w:type="dxa"/>
          </w:tcPr>
          <w:p>
            <w:r>
              <w:rPr>
                <w:color w:val="254B34"/>
                <w:sz w:val="18"/>
              </w:rPr>
              <w:t>IBGE - Desemprego</w:t>
            </w:r>
          </w:p>
        </w:tc>
        <w:tc>
          <w:tcPr>
            <w:tcW w:w="6060" w:type="dxa"/>
          </w:tcPr>
          <w:p>
            <w:r>
              <w:rPr>
                <w:color w:val="254B34"/>
                <w:sz w:val="18"/>
              </w:rPr>
              <w:t>https://www.ibge.gov.br/explica/desemprego.php</w:t>
            </w:r>
          </w:p>
        </w:tc>
      </w:tr>
      <w:tr>
        <w:tc>
          <w:tcPr>
            <w:tcW w:w="3300" w:type="dxa"/>
          </w:tcPr>
          <w:p>
            <w:r>
              <w:rPr>
                <w:color w:val="254B34"/>
                <w:sz w:val="18"/>
              </w:rPr>
              <w:t>IBGE - PNAD Contínua</w:t>
            </w:r>
          </w:p>
        </w:tc>
        <w:tc>
          <w:tcPr>
            <w:tcW w:w="6060" w:type="dxa"/>
          </w:tcPr>
          <w:p>
            <w:r>
              <w:rPr>
                <w:color w:val="254B34"/>
                <w:sz w:val="18"/>
              </w:rPr>
              <w:t>https://www.ibge.gov.br/estatisticas/sociais/saude/9173-pesquisa-nacional-por-amostra-de-domicilios-continua-trimestral.html</w:t>
            </w:r>
          </w:p>
        </w:tc>
      </w:tr>
      <w:tr>
        <w:tc>
          <w:tcPr>
            <w:tcW w:w="3300" w:type="dxa"/>
          </w:tcPr>
          <w:p>
            <w:r>
              <w:rPr>
                <w:color w:val="254B34"/>
                <w:sz w:val="18"/>
              </w:rPr>
              <w:t>LinkedIn Future of Recruiting 2025</w:t>
            </w:r>
          </w:p>
        </w:tc>
        <w:tc>
          <w:tcPr>
            <w:tcW w:w="6060" w:type="dxa"/>
          </w:tcPr>
          <w:p>
            <w:r>
              <w:rPr>
                <w:color w:val="254B34"/>
                <w:sz w:val="18"/>
              </w:rPr>
              <w:t>https://business.linkedin.com/content/dam/me/business/en-us/talent-solutions/resources/pdfs/future-of-recruiting-2025.pdf</w:t>
            </w:r>
          </w:p>
        </w:tc>
      </w:tr>
      <w:tr>
        <w:tc>
          <w:tcPr>
            <w:tcW w:w="3300" w:type="dxa"/>
          </w:tcPr>
          <w:p>
            <w:r>
              <w:rPr>
                <w:color w:val="254B34"/>
                <w:sz w:val="18"/>
              </w:rPr>
              <w:t>Gupy - Mercado de Trabalho no Brasil 2026</w:t>
            </w:r>
          </w:p>
        </w:tc>
        <w:tc>
          <w:tcPr>
            <w:tcW w:w="6060" w:type="dxa"/>
          </w:tcPr>
          <w:p>
            <w:r>
              <w:rPr>
                <w:color w:val="254B34"/>
                <w:sz w:val="18"/>
              </w:rPr>
              <w:t>https://conteudos.gupy.io/materiais/relatorio/empregabilidade-2026</w:t>
            </w:r>
          </w:p>
        </w:tc>
      </w:tr>
      <w:tr>
        <w:tc>
          <w:tcPr>
            <w:tcW w:w="3300" w:type="dxa"/>
          </w:tcPr>
          <w:p>
            <w:r>
              <w:rPr>
                <w:color w:val="254B34"/>
                <w:sz w:val="18"/>
              </w:rPr>
              <w:t>Indeed Hiring Lab</w:t>
            </w:r>
          </w:p>
        </w:tc>
        <w:tc>
          <w:tcPr>
            <w:tcW w:w="6060" w:type="dxa"/>
          </w:tcPr>
          <w:p>
            <w:r>
              <w:rPr>
                <w:color w:val="254B34"/>
                <w:sz w:val="18"/>
              </w:rPr>
              <w:t>https://www.hiringlab.org/</w:t>
            </w:r>
          </w:p>
        </w:tc>
      </w:tr>
    </w:tbl>
    <w:sectPr>
      <w:pgSz w:w="11906" w:h="16838"/>
      <w:pgMar w:top="1080" w:right="1080" w:bottom="1080" w:left="108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Aptos" w:hAnsi="Aptos"/>
      <w:sz w:val="22"/>
      <w:color w:val="071209"/>
    </w:rPr>
  </w:style>
  <w:style w:type="paragraph" w:styleId="Title">
    <w:name w:val="Title"/>
    <w:pPr>
      <w:spacing w:before="0" w:after="160"/>
    </w:pPr>
    <w:rPr>
      <w:rFonts w:ascii="Georgia" w:hAnsi="Georgia"/>
      <w:b/>
      <w:sz w:val="72"/>
      <w:color w:val="FFFFFF"/>
    </w:rPr>
  </w:style>
  <w:style w:type="paragraph" w:styleId="Subtitle">
    <w:name w:val="Subtitle"/>
    <w:pPr>
      <w:spacing w:after="260" w:line="320" w:lineRule="auto"/>
    </w:pPr>
    <w:rPr>
      <w:rFonts w:ascii="Aptos" w:hAnsi="Aptos"/>
      <w:sz w:val="26"/>
      <w:color w:val="D8EFE0"/>
    </w:rPr>
  </w:style>
  <w:style w:type="paragraph" w:styleId="Heading1">
    <w:name w:val="heading 1"/>
    <w:basedOn w:val="Normal"/>
    <w:pPr>
      <w:keepNext/>
      <w:spacing w:before="300" w:after="120"/>
    </w:pPr>
    <w:rPr>
      <w:rFonts w:ascii="Georgia" w:hAnsi="Georgia"/>
      <w:b/>
      <w:sz w:val="34"/>
      <w:color w:val="0D5A35"/>
    </w:rPr>
  </w:style>
  <w:style w:type="paragraph" w:styleId="Heading2">
    <w:name w:val="heading 2"/>
    <w:basedOn w:val="Normal"/>
    <w:pPr>
      <w:keepNext/>
      <w:spacing w:before="220" w:after="90"/>
    </w:pPr>
    <w:rPr>
      <w:rFonts w:ascii="Aptos" w:hAnsi="Aptos"/>
      <w:b/>
      <w:sz w:val="25"/>
      <w:color w:val="1A7A4A"/>
    </w:rPr>
  </w:style>
  <w:style w:type="paragraph" w:styleId="Heading3">
    <w:name w:val="heading 3"/>
    <w:basedOn w:val="Normal"/>
    <w:pPr>
      <w:spacing w:before="160" w:after="70"/>
    </w:pPr>
    <w:rPr>
      <w:rFonts w:ascii="Aptos" w:hAnsi="Aptos"/>
      <w:b/>
      <w:sz w:val="22"/>
      <w:color w:val="254B34"/>
    </w:rPr>
  </w:style>
  <w:style w:type="paragraph" w:styleId="Kicker">
    <w:name w:val="Kicker"/>
    <w:pPr>
      <w:spacing w:after="90"/>
    </w:pPr>
    <w:rPr>
      <w:rFonts w:ascii="Aptos" w:hAnsi="Aptos"/>
      <w:b/>
      <w:caps/>
      <w:sz w:val="18"/>
      <w:color w:val="4ECE91"/>
      <w:spacing w:val="24"/>
    </w:rPr>
  </w:style>
  <w:style w:type="paragraph" w:styleId="Bullet">
    <w:name w:val="Bullet"/>
    <w:pPr>
      <w:spacing w:after="70" w:line="290" w:lineRule="auto"/>
    </w:pPr>
    <w:rPr>
      <w:rFonts w:ascii="Aptos" w:hAnsi="Aptos"/>
      <w:sz w:val="21"/>
      <w:color w:val="254B34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Marca VagaAI</dc:title>
  <dc:creator>VagaAI</dc:creator>
  <cp:lastModifiedBy>Codex</cp:lastModifiedBy>
  <dcterms:created xsi:type="dcterms:W3CDTF">2026-06-29T02:12:18.393864Z</dcterms:created>
  <dcterms:modified xsi:type="dcterms:W3CDTF">2026-06-29T02:12:18.394344Z</dcterms:modified>
</cp:coreProperties>
</file>