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Методы кодирования и модуляция сигналов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методов кодирования и модуляции сигналов с использованием языка программирования Octave. Определение спектральных характеристик сигналов, исследование амплитудной модуляции и свойств самосинхронизации различных кодов.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тригонометрических функций с использованием Octave.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разложение импульсного сигнала (меандра) в частичный ряд Фурье.</w:t>
      </w:r>
    </w:p>
    <w:p>
      <w:pPr>
        <w:pStyle w:val="Compact"/>
        <w:numPr>
          <w:ilvl w:val="0"/>
          <w:numId w:val="1001"/>
        </w:numPr>
      </w:pPr>
      <w:r>
        <w:t xml:space="preserve">Определить спектр отдельных сигналов и их суммы с использованием быстрого преобразования Фурье.</w:t>
      </w:r>
    </w:p>
    <w:p>
      <w:pPr>
        <w:pStyle w:val="Compact"/>
        <w:numPr>
          <w:ilvl w:val="0"/>
          <w:numId w:val="1001"/>
        </w:numPr>
      </w:pPr>
      <w:r>
        <w:t xml:space="preserve">Исследовать амплитудную модуляцию сигналов.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различные методы кодирования сигналов и исследовать их свойства самосинхронизации.</w:t>
      </w:r>
    </w:p>
    <w:bookmarkEnd w:id="21"/>
    <w:bookmarkStart w:id="8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построение-графиков-в-octave"/>
    <w:p>
      <w:pPr>
        <w:pStyle w:val="Heading2"/>
      </w:pPr>
      <w:r>
        <w:t xml:space="preserve">3.1 1.3.1. Построение графиков в Octave</w:t>
      </w:r>
    </w:p>
    <w:bookmarkEnd w:id="22"/>
    <w:bookmarkStart w:id="34" w:name="создание-сценария-построения-графиков"/>
    <w:p>
      <w:pPr>
        <w:pStyle w:val="Heading2"/>
      </w:pPr>
      <w:r>
        <w:t xml:space="preserve">3.2 Создание сценария построения графиков</w:t>
      </w:r>
    </w:p>
    <w:p>
      <w:pPr>
        <w:pStyle w:val="FirstParagraph"/>
      </w:pPr>
      <w:r>
        <w:t xml:space="preserve">Был запущен Octave с оконным интерфейсом. В окне редактора создан новый сценарий</w:t>
      </w:r>
      <w:r>
        <w:t xml:space="preserve"> </w:t>
      </w:r>
      <w:r>
        <w:rPr>
          <w:rStyle w:val="VerbatimChar"/>
        </w:rPr>
        <w:t xml:space="preserve">plot_sin.m</w:t>
      </w:r>
      <w:r>
        <w:t xml:space="preserve">, содержащий код для построения графика функции</w:t>
      </w:r>
      <w:r>
        <w:t xml:space="preserve"> </w:t>
      </w:r>
      <w:r>
        <w:t xml:space="preserve">y = sin x + (1/3) sin 3x + (1/5) sin 5x на интервале [-10; 10]. Сценарий включает формирование массивов данных, настройку параметров графика и экспорт результатов в форматы EPS и PNG.</w:t>
      </w:r>
    </w:p>
    <w:p>
      <w:pPr>
        <w:pStyle w:val="CaptionedFigure"/>
      </w:pPr>
      <w:r>
        <w:drawing>
          <wp:inline>
            <wp:extent cx="5334000" cy="3390774"/>
            <wp:effectExtent b="0" l="0" r="0" t="0"/>
            <wp:docPr descr="Окно редактора Octave с кодом для построения графика функци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редактора Octave с кодом для построения графика функции</w:t>
      </w:r>
    </w:p>
    <w:bookmarkStart w:id="29" w:name="построение-и-экспорт-графика"/>
    <w:p>
      <w:pPr>
        <w:pStyle w:val="Heading3"/>
      </w:pPr>
      <w:r>
        <w:t xml:space="preserve">3.2.1 Построение и экспорт графика</w:t>
      </w:r>
    </w:p>
    <w:p>
      <w:pPr>
        <w:pStyle w:val="FirstParagraph"/>
      </w:pPr>
      <w:r>
        <w:t xml:space="preserve">После выполнения сценария было открыто окно с построенным графиком. График успешно отображает заданную тригонометрическую функцию с наложенной сеткой, подписями осей и заголовком. Файлы с графиком экспортированы в указанные форматы.</w:t>
      </w:r>
    </w:p>
    <w:p>
      <w:pPr>
        <w:pStyle w:val="CaptionedFigure"/>
      </w:pPr>
      <w:r>
        <w:drawing>
          <wp:inline>
            <wp:extent cx="5334000" cy="4981338"/>
            <wp:effectExtent b="0" l="0" r="0" t="0"/>
            <wp:docPr descr="График функции y = sin x + (1/3) sin 3x + (1/5) sin 5x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1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 y = sin x + (1/3) sin 3x + (1/5) sin 5x</w:t>
      </w:r>
    </w:p>
    <w:bookmarkEnd w:id="29"/>
    <w:bookmarkStart w:id="33" w:name="создание-комплексного-графика"/>
    <w:p>
      <w:pPr>
        <w:pStyle w:val="Heading3"/>
      </w:pPr>
      <w:r>
        <w:t xml:space="preserve">3.2.2 Создание комплексного графика</w:t>
      </w:r>
    </w:p>
    <w:p>
      <w:pPr>
        <w:pStyle w:val="FirstParagraph"/>
      </w:pPr>
      <w:r>
        <w:t xml:space="preserve">Сценарий был модифицирован для построения на одном графике двух функций:</w:t>
      </w:r>
      <w:r>
        <w:t xml:space="preserve"> </w:t>
      </w:r>
      <w:r>
        <w:t xml:space="preserve">y1 = sin x + (1/3) sin 3x + (1/5) sin 5x и</w:t>
      </w:r>
      <w:r>
        <w:t xml:space="preserve"> </w:t>
      </w:r>
      <w:r>
        <w:t xml:space="preserve">y2 = cos x + (1/3) cos 3x + (1/5) cos 5x. Использованы разные типы линий для наглядного сравнения функций.</w:t>
      </w:r>
    </w:p>
    <w:p>
      <w:pPr>
        <w:pStyle w:val="CaptionedFigure"/>
      </w:pPr>
      <w:r>
        <w:drawing>
          <wp:inline>
            <wp:extent cx="5334000" cy="5110820"/>
            <wp:effectExtent b="0" l="0" r="0" t="0"/>
            <wp:docPr descr="Совмещённый график функций y1 и y2 на одном пол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Совмещённый график функций y1 и y2 на одном поле</w:t>
      </w:r>
    </w:p>
    <w:bookmarkEnd w:id="33"/>
    <w:bookmarkEnd w:id="34"/>
    <w:bookmarkStart w:id="47" w:name="X07bef417cb4f245ff47fa8bd6db1057000948c0"/>
    <w:p>
      <w:pPr>
        <w:pStyle w:val="Heading2"/>
      </w:pPr>
      <w:r>
        <w:t xml:space="preserve">3.3 1.3.2. Разложение импульсного сигнала в частичный ряд Фурье</w:t>
      </w:r>
    </w:p>
    <w:bookmarkStart w:id="38" w:name="разработка-сценария-для-меандра"/>
    <w:p>
      <w:pPr>
        <w:pStyle w:val="Heading3"/>
      </w:pPr>
      <w:r>
        <w:t xml:space="preserve">3.3.1 Разработка сценария для меандра</w:t>
      </w:r>
    </w:p>
    <w:p>
      <w:pPr>
        <w:pStyle w:val="FirstParagraph"/>
      </w:pPr>
      <w:r>
        <w:t xml:space="preserve">Создан новый сценарий</w:t>
      </w:r>
      <w:r>
        <w:t xml:space="preserve"> </w:t>
      </w:r>
      <w:r>
        <w:rPr>
          <w:rStyle w:val="VerbatimChar"/>
        </w:rPr>
        <w:t xml:space="preserve">meandr.m</w:t>
      </w:r>
      <w:r>
        <w:t xml:space="preserve"> </w:t>
      </w:r>
      <w:r>
        <w:t xml:space="preserve">для разложения импульсного сигнала в форме меандра в частичный ряд Фурье. В коде заданы параметры: количество гармоник ( N = 8 ), частота дискретизации, амплитуда и период сигнала.</w:t>
      </w:r>
    </w:p>
    <w:p>
      <w:pPr>
        <w:pStyle w:val="CaptionedFigure"/>
      </w:pPr>
      <w:r>
        <w:drawing>
          <wp:inline>
            <wp:extent cx="5334000" cy="4066156"/>
            <wp:effectExtent b="0" l="0" r="0" t="0"/>
            <wp:docPr descr="Код сценария meandr.m для разложения меандра в ряд Фурь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сценария meandr.m для разложения меандра в ряд Фурье</w:t>
      </w:r>
    </w:p>
    <w:bookmarkEnd w:id="38"/>
    <w:bookmarkStart w:id="42" w:name="реализация-ряда-фурье-через-косинусы"/>
    <w:p>
      <w:pPr>
        <w:pStyle w:val="Heading3"/>
      </w:pPr>
      <w:r>
        <w:t xml:space="preserve">3.3.2 Реализация ряда Фурье через косинусы</w:t>
      </w:r>
    </w:p>
    <w:p>
      <w:pPr>
        <w:pStyle w:val="FirstParagraph"/>
      </w:pPr>
      <w:r>
        <w:t xml:space="preserve">Реализовано разложение меандра через косинусный ряд Фурье. Сформированы массивы коэффициентов и гармоник. Для визуализации использовано суммирование ряда с накоплением и построение отдельных графиков для разного количества гармоник с помощью функции</w:t>
      </w:r>
      <w:r>
        <w:t xml:space="preserve"> </w:t>
      </w:r>
      <w:r>
        <w:rPr>
          <w:rStyle w:val="VerbatimChar"/>
        </w:rPr>
        <w:t xml:space="preserve">subplot</w:t>
      </w:r>
      <w:r>
        <w:t xml:space="preserve">.</w:t>
      </w:r>
    </w:p>
    <w:p>
      <w:pPr>
        <w:pStyle w:val="CaptionedFigure"/>
      </w:pPr>
      <w:r>
        <w:drawing>
          <wp:inline>
            <wp:extent cx="5334000" cy="5089864"/>
            <wp:effectExtent b="0" l="0" r="0" t="0"/>
            <wp:docPr descr="Графики меандра, построенные с различным количеством гармоник (1-8)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меандра, построенные с различным количеством гармоник (1-8)</w:t>
      </w:r>
    </w:p>
    <w:bookmarkEnd w:id="42"/>
    <w:bookmarkStart w:id="46" w:name="модификация-кода-для-синусного-ряда"/>
    <w:p>
      <w:pPr>
        <w:pStyle w:val="Heading3"/>
      </w:pPr>
      <w:r>
        <w:t xml:space="preserve">3.3.3 Модификация кода для синусного ряда</w:t>
      </w:r>
    </w:p>
    <w:p>
      <w:pPr>
        <w:pStyle w:val="FirstParagraph"/>
      </w:pPr>
      <w:r>
        <w:t xml:space="preserve">Код скорректирован для реализации разложения меандра через синусный ряд Фурье. Получены соответствующие графики, демонстрирующие формирование меандра из синусоидальных компонент.</w:t>
      </w:r>
    </w:p>
    <w:p>
      <w:pPr>
        <w:pStyle w:val="CaptionedFigure"/>
      </w:pPr>
      <w:r>
        <w:drawing>
          <wp:inline>
            <wp:extent cx="5334000" cy="5206464"/>
            <wp:effectExtent b="0" l="0" r="0" t="0"/>
            <wp:docPr descr="Графики меандра, построенные через синусный ряд Фурье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меандра, построенные через синусный ряд Фурье</w:t>
      </w:r>
    </w:p>
    <w:bookmarkEnd w:id="46"/>
    <w:bookmarkEnd w:id="47"/>
    <w:bookmarkStart w:id="64" w:name="определение-спектра-и-параметров-сигнала"/>
    <w:p>
      <w:pPr>
        <w:pStyle w:val="Heading2"/>
      </w:pPr>
      <w:r>
        <w:t xml:space="preserve">3.4 1.3.3. Определение спектра и параметров сигнала</w:t>
      </w:r>
    </w:p>
    <w:bookmarkStart w:id="51" w:name="создание-сценария-для-анализа-спектра"/>
    <w:p>
      <w:pPr>
        <w:pStyle w:val="Heading3"/>
      </w:pPr>
      <w:r>
        <w:t xml:space="preserve">3.4.1 Создание сценария для анализа спектра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spectrel</w:t>
      </w:r>
      <w:r>
        <w:t xml:space="preserve"> </w:t>
      </w:r>
      <w:r>
        <w:t xml:space="preserve">создан сценарий</w:t>
      </w:r>
      <w:r>
        <w:t xml:space="preserve"> </w:t>
      </w:r>
      <w:r>
        <w:rPr>
          <w:rStyle w:val="VerbatimChar"/>
        </w:rPr>
        <w:t xml:space="preserve">spectre.m</w:t>
      </w:r>
      <w:r>
        <w:t xml:space="preserve"> </w:t>
      </w:r>
      <w:r>
        <w:t xml:space="preserve">для анализа спектров двух синусоидальных сигналов с частотами 10 Гц и 40 Гц. В коде заданы параметры: длина сигнала, частота дискретизации 512 Гц, амплитуды и массивы отсчётов времени.</w:t>
      </w:r>
    </w:p>
    <w:p>
      <w:pPr>
        <w:pStyle w:val="CaptionedFigure"/>
      </w:pPr>
      <w:r>
        <w:drawing>
          <wp:inline>
            <wp:extent cx="5334000" cy="4831879"/>
            <wp:effectExtent b="0" l="0" r="0" t="0"/>
            <wp:docPr descr="Код сценария spectre.m для генерации сигналов и анализа спектра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сценария spectre.m для генерации сигналов и анализа спектра</w:t>
      </w:r>
    </w:p>
    <w:bookmarkEnd w:id="51"/>
    <w:bookmarkStart w:id="55" w:name="Xef83f05663fb80fa03460402a872c5ada337b44"/>
    <w:p>
      <w:pPr>
        <w:pStyle w:val="Heading3"/>
      </w:pPr>
      <w:r>
        <w:t xml:space="preserve">3.4.2 Построение графиков сигналов и их спектров</w:t>
      </w:r>
    </w:p>
    <w:p>
      <w:pPr>
        <w:pStyle w:val="FirstParagraph"/>
      </w:pPr>
      <w:r>
        <w:t xml:space="preserve">Построены графики двух исходных синусоидальных сигналов. С помощью функции</w:t>
      </w:r>
      <w:r>
        <w:t xml:space="preserve"> </w:t>
      </w:r>
      <w:r>
        <w:rPr>
          <w:rStyle w:val="VerbatimChar"/>
        </w:rPr>
        <w:t xml:space="preserve">fft</w:t>
      </w:r>
      <w:r>
        <w:t xml:space="preserve"> </w:t>
      </w:r>
      <w:r>
        <w:t xml:space="preserve">(быстрое преобразование Фурье) вычислены и визуализированы их спектры амплитуд. На графиках спектров видны пики на соответствующих частотах 10 Гц и 40 Гц.</w:t>
      </w:r>
    </w:p>
    <w:p>
      <w:pPr>
        <w:pStyle w:val="CaptionedFigure"/>
      </w:pPr>
      <w:r>
        <w:drawing>
          <wp:inline>
            <wp:extent cx="5334000" cy="5058744"/>
            <wp:effectExtent b="0" l="0" r="0" t="0"/>
            <wp:docPr descr="Графики двух синусоидальных сигналов и их спектров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двух синусоидальных сигналов и их спектров</w:t>
      </w:r>
    </w:p>
    <w:bookmarkEnd w:id="55"/>
    <w:bookmarkStart w:id="59" w:name="коррекция-графиков-спектра"/>
    <w:p>
      <w:pPr>
        <w:pStyle w:val="Heading3"/>
      </w:pPr>
      <w:r>
        <w:t xml:space="preserve">3.4.3 Коррекция графиков спектра</w:t>
      </w:r>
    </w:p>
    <w:p>
      <w:pPr>
        <w:pStyle w:val="FirstParagraph"/>
      </w:pPr>
      <w:r>
        <w:t xml:space="preserve">Выполнена коррекция графиков спектра: отброшены дублирующие отрицательные частоты, проведена нормировка амплитуд и построен исправленный график в диапазоне от 0 до 100 Гц.</w:t>
      </w:r>
    </w:p>
    <w:p>
      <w:pPr>
        <w:pStyle w:val="CaptionedFigure"/>
      </w:pPr>
      <w:r>
        <w:drawing>
          <wp:inline>
            <wp:extent cx="5334000" cy="5085732"/>
            <wp:effectExtent b="0" l="0" r="0" t="0"/>
            <wp:docPr descr="Исправленные графики спектров сигналов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Исправленные графики спектров сигналов</w:t>
      </w:r>
    </w:p>
    <w:bookmarkEnd w:id="59"/>
    <w:bookmarkStart w:id="63" w:name="анализ-спектра-суммы-сигналов"/>
    <w:p>
      <w:pPr>
        <w:pStyle w:val="Heading3"/>
      </w:pPr>
      <w:r>
        <w:t xml:space="preserve">3.4.4 Анализ спектра суммы сигналов</w:t>
      </w:r>
    </w:p>
    <w:p>
      <w:pPr>
        <w:pStyle w:val="FirstParagraph"/>
      </w:pPr>
      <w:r>
        <w:t xml:space="preserve">Создан сценарий</w:t>
      </w:r>
      <w:r>
        <w:t xml:space="preserve"> </w:t>
      </w:r>
      <w:r>
        <w:rPr>
          <w:rStyle w:val="VerbatimChar"/>
        </w:rPr>
        <w:t xml:space="preserve">spectre_sum.m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spectr_sum</w:t>
      </w:r>
      <w:r>
        <w:t xml:space="preserve"> </w:t>
      </w:r>
      <w:r>
        <w:t xml:space="preserve">для анализа спектра суммы двух синусоидальных сигналов. Полученный спектр суммарного сигнала подтвердил свойство линейности преобразования Фурье: спектр суммы равен сумме спектров.</w:t>
      </w:r>
    </w:p>
    <w:p>
      <w:pPr>
        <w:pStyle w:val="CaptionedFigure"/>
      </w:pPr>
      <w:r>
        <w:drawing>
          <wp:inline>
            <wp:extent cx="5334000" cy="4952999"/>
            <wp:effectExtent b="0" l="0" r="0" t="0"/>
            <wp:docPr descr="График суммарного сигнала и его спектр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суммарного сигнала и его спектр</w:t>
      </w:r>
    </w:p>
    <w:bookmarkEnd w:id="63"/>
    <w:bookmarkEnd w:id="64"/>
    <w:bookmarkStart w:id="73" w:name="амплитудная-модуляция"/>
    <w:p>
      <w:pPr>
        <w:pStyle w:val="Heading2"/>
      </w:pPr>
      <w:r>
        <w:t xml:space="preserve">3.5 1.3.4. Амплитудная модуляция</w:t>
      </w:r>
    </w:p>
    <w:bookmarkStart w:id="68" w:name="реализация-амплитудной-модуляции"/>
    <w:p>
      <w:pPr>
        <w:pStyle w:val="Heading3"/>
      </w:pPr>
      <w:r>
        <w:t xml:space="preserve">3.5.1 Реализация амплитудной модуляции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modulation</w:t>
      </w:r>
      <w:r>
        <w:t xml:space="preserve"> </w:t>
      </w:r>
      <w:r>
        <w:t xml:space="preserve">создан сценарий</w:t>
      </w:r>
      <w:r>
        <w:t xml:space="preserve"> </w:t>
      </w:r>
      <w:r>
        <w:rPr>
          <w:rStyle w:val="VerbatimChar"/>
        </w:rPr>
        <w:t xml:space="preserve">am.m</w:t>
      </w:r>
      <w:r>
        <w:t xml:space="preserve"> </w:t>
      </w:r>
      <w:r>
        <w:t xml:space="preserve">для демонстрации амплитудной модуляции. Реализовано перемножение низкочастотного сигнала (5 Гц) и высокочастотной несущей (50 Гц). На графике отображён модулированный сигнал и его огибающая.</w:t>
      </w:r>
    </w:p>
    <w:p>
      <w:pPr>
        <w:pStyle w:val="CaptionedFigure"/>
      </w:pPr>
      <w:r>
        <w:drawing>
          <wp:inline>
            <wp:extent cx="2194560" cy="1780673"/>
            <wp:effectExtent b="0" l="0" r="0" t="0"/>
            <wp:docPr descr="Сигнал и огибающая при амплитудной модуляции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78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Сигнал и огибающая при амплитудной модуляции</w:t>
      </w:r>
    </w:p>
    <w:bookmarkEnd w:id="68"/>
    <w:bookmarkStart w:id="72" w:name="анализ-спектра-модулированного-сигнала"/>
    <w:p>
      <w:pPr>
        <w:pStyle w:val="Heading3"/>
      </w:pPr>
      <w:r>
        <w:t xml:space="preserve">3.5.2 Анализ спектра модулированного сигнала</w:t>
      </w:r>
    </w:p>
    <w:p>
      <w:pPr>
        <w:pStyle w:val="FirstParagraph"/>
      </w:pPr>
      <w:r>
        <w:t xml:space="preserve">Вычислен и построен спектр амплитудно-модулированного сигнала. На спектре наблюдаются характерные боковые полосы вокруг частоты несущей (50 Гц), что соответствует теоретическим ожиданиям для амплитудной модуляции.</w:t>
      </w:r>
    </w:p>
    <w:p>
      <w:pPr>
        <w:pStyle w:val="CaptionedFigure"/>
      </w:pPr>
      <w:r>
        <w:drawing>
          <wp:inline>
            <wp:extent cx="5334000" cy="5191859"/>
            <wp:effectExtent b="0" l="0" r="0" t="0"/>
            <wp:docPr descr="Спектр сигнала при амплитудной модуляции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сигнала при амплитудной модуляции</w:t>
      </w:r>
    </w:p>
    <w:bookmarkEnd w:id="72"/>
    <w:bookmarkEnd w:id="73"/>
    <w:bookmarkStart w:id="86" w:name="Xaa8c1bf527ac7c93ee2af46fc153d73e227d539"/>
    <w:p>
      <w:pPr>
        <w:pStyle w:val="Heading2"/>
      </w:pPr>
      <w:r>
        <w:t xml:space="preserve">3.6 1.3.5. Кодирование сигнала и исследование самосинхронизации</w:t>
      </w:r>
    </w:p>
    <w:bookmarkStart w:id="77" w:name="X7d18af243991acfaae8531e3be04ba9ba807f85"/>
    <w:p>
      <w:pPr>
        <w:pStyle w:val="Heading3"/>
      </w:pPr>
      <w:r>
        <w:t xml:space="preserve">3.6.1 Подготовка среды и создание файлов проекта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coding</w:t>
      </w:r>
      <w:r>
        <w:t xml:space="preserve"> </w:t>
      </w:r>
      <w:r>
        <w:t xml:space="preserve">с набором файлов для реализации различных методов кодирования. Проверена и при необходимости установлена библиотека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для Octave. В файле</w:t>
      </w:r>
      <w:r>
        <w:t xml:space="preserve"> </w:t>
      </w:r>
      <w:r>
        <w:rPr>
          <w:rStyle w:val="VerbatimChar"/>
        </w:rPr>
        <w:t xml:space="preserve">main.m</w:t>
      </w:r>
      <w:r>
        <w:t xml:space="preserve"> </w:t>
      </w:r>
      <w:r>
        <w:t xml:space="preserve">заданы тестовые битовые последовательности.</w:t>
      </w:r>
    </w:p>
    <w:p>
      <w:pPr>
        <w:pStyle w:val="CaptionedFigure"/>
      </w:pPr>
      <w:r>
        <w:drawing>
          <wp:inline>
            <wp:extent cx="5334000" cy="2831170"/>
            <wp:effectExtent b="0" l="0" r="0" t="0"/>
            <wp:docPr descr="Структура проекта и код главного скрипта main.m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проекта и код главного скрипта main.m</w:t>
      </w:r>
    </w:p>
    <w:bookmarkEnd w:id="77"/>
    <w:bookmarkStart w:id="81" w:name="реализация-функций-кодирования"/>
    <w:p>
      <w:pPr>
        <w:pStyle w:val="Heading3"/>
      </w:pPr>
      <w:r>
        <w:t xml:space="preserve">3.6.2 Реализация функций кодирования</w:t>
      </w:r>
    </w:p>
    <w:p>
      <w:pPr>
        <w:pStyle w:val="FirstParagraph"/>
      </w:pPr>
      <w:r>
        <w:t xml:space="preserve">Разработаны функции для различных методов кодирования:</w:t>
      </w:r>
      <w:r>
        <w:t xml:space="preserve"> </w:t>
      </w:r>
      <w:r>
        <w:rPr>
          <w:rStyle w:val="VerbatimChar"/>
        </w:rPr>
        <w:t xml:space="preserve">unipolar</w:t>
      </w:r>
      <w:r>
        <w:t xml:space="preserve"> </w:t>
      </w:r>
      <w:r>
        <w:t xml:space="preserve">(униполярное),</w:t>
      </w:r>
      <w:r>
        <w:t xml:space="preserve"> </w:t>
      </w:r>
      <w:r>
        <w:rPr>
          <w:rStyle w:val="VerbatimChar"/>
        </w:rPr>
        <w:t xml:space="preserve">ami</w:t>
      </w:r>
      <w:r>
        <w:t xml:space="preserve"> </w:t>
      </w:r>
      <w:r>
        <w:t xml:space="preserve">(AMI),</w:t>
      </w:r>
      <w:r>
        <w:t xml:space="preserve"> </w:t>
      </w:r>
      <w:r>
        <w:rPr>
          <w:rStyle w:val="VerbatimChar"/>
        </w:rPr>
        <w:t xml:space="preserve">bipolarmrz</w:t>
      </w:r>
      <w:r>
        <w:t xml:space="preserve"> </w:t>
      </w:r>
      <w:r>
        <w:t xml:space="preserve">(NRZ),</w:t>
      </w:r>
      <w:r>
        <w:t xml:space="preserve"> </w:t>
      </w:r>
      <w:r>
        <w:rPr>
          <w:rStyle w:val="VerbatimChar"/>
        </w:rPr>
        <w:t xml:space="preserve">bipolarrz</w:t>
      </w:r>
      <w:r>
        <w:t xml:space="preserve"> </w:t>
      </w:r>
      <w:r>
        <w:t xml:space="preserve">(RZ),</w:t>
      </w:r>
      <w:r>
        <w:t xml:space="preserve"> </w:t>
      </w:r>
      <w:r>
        <w:rPr>
          <w:rStyle w:val="VerbatimChar"/>
        </w:rPr>
        <w:t xml:space="preserve">manchester</w:t>
      </w:r>
      <w:r>
        <w:t xml:space="preserve"> </w:t>
      </w:r>
      <w:r>
        <w:t xml:space="preserve">(Манчестерское),</w:t>
      </w:r>
      <w:r>
        <w:t xml:space="preserve"> </w:t>
      </w:r>
      <w:r>
        <w:rPr>
          <w:rStyle w:val="VerbatimChar"/>
        </w:rPr>
        <w:t xml:space="preserve">diffmanc</w:t>
      </w:r>
      <w:r>
        <w:t xml:space="preserve"> </w:t>
      </w:r>
      <w:r>
        <w:t xml:space="preserve">(Дифференциальное манчестерское). Каждая функция преобразует битовую последовательность в соответствующий волновой сигнал.</w:t>
      </w:r>
    </w:p>
    <w:p>
      <w:pPr>
        <w:pStyle w:val="CaptionedFigure"/>
      </w:pPr>
      <w:r>
        <w:drawing>
          <wp:inline>
            <wp:extent cx="4514248" cy="2011680"/>
            <wp:effectExtent b="0" l="0" r="0" t="0"/>
            <wp:docPr descr="Пример кода функций кодирования AMI и NRZ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48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кода функций кодирования AMI и NRZ</w:t>
      </w:r>
    </w:p>
    <w:bookmarkEnd w:id="81"/>
    <w:bookmarkStart w:id="85" w:name="X2d85d303f24f96cad7efebd6864bf52749d98cb"/>
    <w:p>
      <w:pPr>
        <w:pStyle w:val="Heading3"/>
      </w:pPr>
      <w:r>
        <w:t xml:space="preserve">3.6.3 Построение графиков кодированных сигналов</w:t>
      </w:r>
    </w:p>
    <w:p>
      <w:pPr>
        <w:pStyle w:val="FirstParagraph"/>
      </w:pPr>
      <w:r>
        <w:t xml:space="preserve">Запущен главный скрипт</w:t>
      </w:r>
      <w:r>
        <w:t xml:space="preserve"> </w:t>
      </w:r>
      <w:r>
        <w:rPr>
          <w:rStyle w:val="VerbatimChar"/>
        </w:rPr>
        <w:t xml:space="preserve">main.m</w:t>
      </w:r>
      <w:r>
        <w:t xml:space="preserve">. Получены графики кодированных сигналов для заданной битовой последовательности</w:t>
      </w:r>
      <w:r>
        <w:t xml:space="preserve"> </w:t>
      </w:r>
      <w:r>
        <w:rPr>
          <w:rStyle w:val="VerbatimChar"/>
        </w:rPr>
        <w:t xml:space="preserve">[0 1 0 0 1 1 0 0 0 1 1 0]</w:t>
      </w:r>
      <w:r>
        <w:t xml:space="preserve">. Визуально проанализированы особенности каждого метода кодирования.</w:t>
      </w:r>
    </w:p>
    <w:p>
      <w:pPr>
        <w:pStyle w:val="CaptionedFigure"/>
      </w:pPr>
      <w:r>
        <w:drawing>
          <wp:inline>
            <wp:extent cx="5334000" cy="1712214"/>
            <wp:effectExtent b="0" l="0" r="0" t="0"/>
            <wp:docPr descr="Графики кодированных сигнало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кодированных сигнало</w:t>
      </w:r>
    </w:p>
    <w:bookmarkEnd w:id="85"/>
    <w:bookmarkEnd w:id="86"/>
    <w:bookmarkEnd w:id="87"/>
    <w:bookmarkStart w:id="88" w:name="выводы"/>
    <w:p>
      <w:pPr>
        <w:pStyle w:val="Heading1"/>
      </w:pPr>
      <w:r>
        <w:t xml:space="preserve">4. Выводы</w:t>
      </w:r>
    </w:p>
    <w:p>
      <w:pPr>
        <w:pStyle w:val="Compact"/>
        <w:numPr>
          <w:ilvl w:val="0"/>
          <w:numId w:val="1002"/>
        </w:numPr>
      </w:pPr>
      <w:r>
        <w:t xml:space="preserve">Освоены базовые навыки работы в среде Octave, включая создание скриптов, построение графиков и экспорт результатов.</w:t>
      </w:r>
    </w:p>
    <w:p>
      <w:pPr>
        <w:pStyle w:val="Compact"/>
        <w:numPr>
          <w:ilvl w:val="0"/>
          <w:numId w:val="1002"/>
        </w:numPr>
      </w:pPr>
      <w:r>
        <w:t xml:space="preserve">Практически исследовано разложение периодического сигнала (меандра) в ряд Фурье, подтверждено формирование сигнала из ограниченного набора гармоник.</w:t>
      </w:r>
    </w:p>
    <w:p>
      <w:pPr>
        <w:pStyle w:val="Compact"/>
        <w:numPr>
          <w:ilvl w:val="0"/>
          <w:numId w:val="1002"/>
        </w:numPr>
      </w:pPr>
      <w:r>
        <w:t xml:space="preserve">Применено быстрое преобразование Фурье для анализа спектров сигналов, подтверждено свойство линейности преобразования Фурье.</w:t>
      </w:r>
    </w:p>
    <w:p>
      <w:pPr>
        <w:pStyle w:val="Compact"/>
        <w:numPr>
          <w:ilvl w:val="0"/>
          <w:numId w:val="1002"/>
        </w:numPr>
      </w:pPr>
      <w:r>
        <w:t xml:space="preserve">Исследован процесс амплитудной модуляции, визуализированы модулированный сигнал, его огибающая и спектр.</w:t>
      </w:r>
    </w:p>
    <w:p>
      <w:pPr>
        <w:pStyle w:val="Compact"/>
        <w:numPr>
          <w:ilvl w:val="0"/>
          <w:numId w:val="1002"/>
        </w:numPr>
      </w:pPr>
      <w:r>
        <w:t xml:space="preserve">Реализованы и проанализированы различные методы цифрового кодирования сигналов (униполярный, AMI, NRZ, RZ, Манчестерский, дифференциальный манчестерский).</w:t>
      </w:r>
    </w:p>
    <w:p>
      <w:pPr>
        <w:pStyle w:val="Compact"/>
        <w:numPr>
          <w:ilvl w:val="0"/>
          <w:numId w:val="1002"/>
        </w:numPr>
      </w:pPr>
      <w:r>
        <w:t xml:space="preserve">Проверено свойство самосинхронизации для различных кодов, выявлены коды, устойчивые к длинным последовательностям одинаковых битов.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Проанализированы спектральные характеристики различных методов кодирования, что важно для оценки эффективности использования полосы пропускания канала связи.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Газизянов Владислав Альбертович</dc:creator>
  <dc:language>ru-RU</dc:language>
  <cp:keywords/>
  <dcterms:created xsi:type="dcterms:W3CDTF">2025-12-20T07:06:29Z</dcterms:created>
  <dcterms:modified xsi:type="dcterms:W3CDTF">2025-12-20T07:06:29Z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Методы кодирования и модуляция сигналов</vt:lpwstr>
  </property>
  <property fmtid="{D5CDD505-2E9C-101B-9397-08002B2CF9AE}" pid="14" name="toc-title">
    <vt:lpwstr>Содержание</vt:lpwstr>
  </property>
</Properties>
</file>