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Расширенные настройки SMTP-сервера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конфигурирования SMTP-сервера с настройкой аутентификации, поддержки протокола LMTP и работы поверх TLS.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Dovecot для работы с протоколом LMTP.</w:t>
      </w:r>
    </w:p>
    <w:p>
      <w:pPr>
        <w:pStyle w:val="Compact"/>
        <w:numPr>
          <w:ilvl w:val="0"/>
          <w:numId w:val="1001"/>
        </w:numPr>
      </w:pPr>
      <w:r>
        <w:t xml:space="preserve">Настроить аутентификацию на SMTP-сервере посредством SASL.</w:t>
      </w:r>
    </w:p>
    <w:p>
      <w:pPr>
        <w:pStyle w:val="Compact"/>
        <w:numPr>
          <w:ilvl w:val="0"/>
          <w:numId w:val="1001"/>
        </w:numPr>
      </w:pPr>
      <w:r>
        <w:t xml:space="preserve">Настроить работу SMTP-сервера поверх TLS.</w:t>
      </w:r>
    </w:p>
    <w:p>
      <w:pPr>
        <w:pStyle w:val="Compact"/>
        <w:numPr>
          <w:ilvl w:val="0"/>
          <w:numId w:val="1001"/>
        </w:numPr>
      </w:pPr>
      <w:r>
        <w:t xml:space="preserve">Скорректировать скрипт для автоматической настройки почтового сервера в инфраструктуре Vagrant.</w:t>
      </w:r>
    </w:p>
    <w:bookmarkEnd w:id="21"/>
    <w:bookmarkStart w:id="6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настройка-lmtp-в-dovecot"/>
    <w:p>
      <w:pPr>
        <w:pStyle w:val="Heading2"/>
      </w:pPr>
      <w:r>
        <w:t xml:space="preserve">3.1 10.4.1. Настройка LMTP в Dovecot</w:t>
      </w:r>
    </w:p>
    <w:bookmarkStart w:id="25" w:name="подготовка-и-мониторинг"/>
    <w:p>
      <w:pPr>
        <w:pStyle w:val="Heading3"/>
      </w:pPr>
      <w:r>
        <w:t xml:space="preserve">3.1.1 Подготовка и мониторинг</w:t>
      </w:r>
    </w:p>
    <w:p>
      <w:pPr>
        <w:pStyle w:val="FirstParagraph"/>
      </w:pPr>
      <w:r>
        <w:t xml:space="preserve">Была запущена виртуальная машина</w:t>
      </w:r>
      <w:r>
        <w:t xml:space="preserve"> </w:t>
      </w:r>
      <w:r>
        <w:rPr>
          <w:b/>
          <w:bCs/>
        </w:rPr>
        <w:t xml:space="preserve">server</w:t>
      </w:r>
      <w:r>
        <w:t xml:space="preserve">, выполнено подключение и переход в режим суперпользователя. В отдельном терминале запущен мониторинг почтового журнала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для наблюдения за работой почтовых служб в реальном времени.</w:t>
      </w:r>
    </w:p>
    <w:p>
      <w:pPr>
        <w:pStyle w:val="CaptionedFigure"/>
      </w:pPr>
      <w:r>
        <w:drawing>
          <wp:inline>
            <wp:extent cx="5334000" cy="2305029"/>
            <wp:effectExtent b="0" l="0" r="0" t="0"/>
            <wp:docPr descr="Запуск мониторинга почтового журна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мониторинга почтового журнала</w:t>
      </w:r>
    </w:p>
    <w:bookmarkEnd w:id="25"/>
    <w:bookmarkStart w:id="29" w:name="X3b2d9571dc58519bced44f4c9a143723a355c74"/>
    <w:p>
      <w:pPr>
        <w:pStyle w:val="Heading3"/>
      </w:pPr>
      <w:r>
        <w:t xml:space="preserve">3.1.2 Конфигурация протоколов Dovecot и сервиса LMTP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добавлен протокол</w:t>
      </w:r>
      <w:r>
        <w:t xml:space="preserve"> </w:t>
      </w:r>
      <w:r>
        <w:rPr>
          <w:b/>
          <w:bCs/>
        </w:rPr>
        <w:t xml:space="preserve">LMTP</w:t>
      </w:r>
      <w:r>
        <w:t xml:space="preserve"> </w:t>
      </w:r>
      <w:r>
        <w:t xml:space="preserve">в список поддерживаемых протоколов. 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настроен сервис LMTP для взаимодействия с Postfix через Unix-сокет с указанием прав доступа и принадлежности пользователям.</w:t>
      </w:r>
    </w:p>
    <w:p>
      <w:pPr>
        <w:pStyle w:val="CaptionedFigure"/>
      </w:pPr>
      <w:r>
        <w:drawing>
          <wp:inline>
            <wp:extent cx="2743200" cy="587141"/>
            <wp:effectExtent b="0" l="0" r="0" t="0"/>
            <wp:docPr descr="Настройка протоколов Dovecot и конфигурация сервиса LMTP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8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протоколов Dovecot и конфигурация сервиса LMTP</w:t>
      </w:r>
    </w:p>
    <w:bookmarkEnd w:id="29"/>
    <w:bookmarkStart w:id="33" w:name="интеграция-lmtp-с-postfix"/>
    <w:p>
      <w:pPr>
        <w:pStyle w:val="Heading3"/>
      </w:pPr>
      <w:r>
        <w:t xml:space="preserve">3.1.3 Интеграция LMTP с Postfix</w:t>
      </w:r>
    </w:p>
    <w:p>
      <w:pPr>
        <w:pStyle w:val="FirstParagraph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 </w:t>
      </w:r>
      <w:r>
        <w:t xml:space="preserve">настроен транспорт почты через созданный Unix-сокет, что позволяет Postfix передавать почтовые сообщения на обработку Dovecot через протокол LMTP.</w:t>
      </w:r>
    </w:p>
    <w:p>
      <w:pPr>
        <w:pStyle w:val="CaptionedFigure"/>
      </w:pPr>
      <w:r>
        <w:drawing>
          <wp:inline>
            <wp:extent cx="5334000" cy="249706"/>
            <wp:effectExtent b="0" l="0" r="0" t="0"/>
            <wp:docPr descr="Настройка транспорта почты в Postfix через LMTP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транспорта почты в Postfix через LMTP</w:t>
      </w:r>
    </w:p>
    <w:bookmarkEnd w:id="33"/>
    <w:bookmarkStart w:id="37" w:name="тестирование-lmtp-доставки"/>
    <w:p>
      <w:pPr>
        <w:pStyle w:val="Heading3"/>
      </w:pPr>
      <w:r>
        <w:t xml:space="preserve">3.1.4 Тестирование LMTP-доставки</w:t>
      </w:r>
    </w:p>
    <w:p>
      <w:pPr>
        <w:pStyle w:val="FirstParagraph"/>
      </w:pPr>
      <w:r>
        <w:t xml:space="preserve">После перезапуска служб Postfix и Dovecot с клиентской машины отправлено тестовое письмо. 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наблюдалась корректная обработка сообщения через LMTP-соединение, подтверждающая работоспособность настройки.</w:t>
      </w:r>
    </w:p>
    <w:p>
      <w:pPr>
        <w:pStyle w:val="CaptionedFigure"/>
      </w:pPr>
      <w:r>
        <w:drawing>
          <wp:inline>
            <wp:extent cx="4581625" cy="519764"/>
            <wp:effectExtent b="0" l="0" r="0" t="0"/>
            <wp:docPr descr="Перезапуск служб и отправка тестового письма через LMTP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625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служб и отправка тестового письма через LMTP</w:t>
      </w:r>
    </w:p>
    <w:bookmarkEnd w:id="37"/>
    <w:bookmarkEnd w:id="38"/>
    <w:bookmarkStart w:id="51" w:name="настройка-smtp-аутентификации-через-sasl"/>
    <w:p>
      <w:pPr>
        <w:pStyle w:val="Heading2"/>
      </w:pPr>
      <w:r>
        <w:t xml:space="preserve">3.2 10.4.2. Настройка SMTP-аутентификации через SASL</w:t>
      </w:r>
    </w:p>
    <w:bookmarkStart w:id="42" w:name="конфигурация-службы-аутентификации"/>
    <w:p>
      <w:pPr>
        <w:pStyle w:val="Heading3"/>
      </w:pPr>
      <w:r>
        <w:t xml:space="preserve">3.2.1 Конфигурация службы аутентификации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определена служба аутентификации пользователей с настройкой Unix-сокетов для взаимодействия между Postfix и Dovecot, обеспечивая безопасный обмен учетными данными.</w:t>
      </w:r>
    </w:p>
    <w:p>
      <w:pPr>
        <w:pStyle w:val="CaptionedFigure"/>
      </w:pPr>
      <w:r>
        <w:drawing>
          <wp:inline>
            <wp:extent cx="5334000" cy="5515182"/>
            <wp:effectExtent b="0" l="0" r="0" t="0"/>
            <wp:docPr descr="Настройка службы аутентификации SASL в Dovecot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5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службы аутентификации SASL в Dovecot</w:t>
      </w:r>
    </w:p>
    <w:bookmarkEnd w:id="42"/>
    <w:bookmarkStart w:id="46" w:name="настройка-postfix-для-работы-с-sasl"/>
    <w:p>
      <w:pPr>
        <w:pStyle w:val="Heading3"/>
      </w:pPr>
      <w:r>
        <w:t xml:space="preserve">3.2.2 Настройка Postfix для работы с SASL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 </w:t>
      </w:r>
      <w:r>
        <w:t xml:space="preserve">настроены параметры SASL в Postfix, включая тип аутентификации и путь к Unix-сокету. Это позволяет Postfix делегировать проверку учетных данных службе Dovecot.</w:t>
      </w:r>
    </w:p>
    <w:p>
      <w:pPr>
        <w:pStyle w:val="CaptionedFigure"/>
      </w:pPr>
      <w:r>
        <w:drawing>
          <wp:inline>
            <wp:extent cx="5334000" cy="432252"/>
            <wp:effectExtent b="0" l="0" r="0" t="0"/>
            <wp:docPr descr="Настройка параметров SASL и ограничений получателей в Postfix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SASL и ограничений получателей в Postfix</w:t>
      </w:r>
    </w:p>
    <w:bookmarkEnd w:id="46"/>
    <w:bookmarkStart w:id="50" w:name="подготовка-и-тестирование-аутентификации"/>
    <w:p>
      <w:pPr>
        <w:pStyle w:val="Heading3"/>
      </w:pPr>
      <w:r>
        <w:t xml:space="preserve">3.2.3 Подготовка и тестирование аутентификации</w:t>
      </w:r>
    </w:p>
    <w:p>
      <w:pPr>
        <w:pStyle w:val="FirstParagraph"/>
      </w:pPr>
      <w:r>
        <w:t xml:space="preserve">На клиентской машине установлен telnet и сгенерирована строка для аутентификации в формате base64. Выполнено подключение к SMTP-серверу через порт 25 и проверена аутентификация с использованием механизма PLAIN.</w:t>
      </w:r>
    </w:p>
    <w:p>
      <w:pPr>
        <w:pStyle w:val="CaptionedFigure"/>
      </w:pPr>
      <w:r>
        <w:drawing>
          <wp:inline>
            <wp:extent cx="5334000" cy="498987"/>
            <wp:effectExtent b="0" l="0" r="0" t="0"/>
            <wp:docPr descr="Генерация строки аутентификации и тестирование через telnet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строки аутентификации и тестирование через telnet</w:t>
      </w:r>
    </w:p>
    <w:bookmarkEnd w:id="50"/>
    <w:bookmarkEnd w:id="51"/>
    <w:bookmarkStart w:id="64" w:name="настройка-smtp-поверх-tls"/>
    <w:p>
      <w:pPr>
        <w:pStyle w:val="Heading2"/>
      </w:pPr>
      <w:r>
        <w:t xml:space="preserve">3.3 10.4.3. Настройка SMTP поверх TLS</w:t>
      </w:r>
    </w:p>
    <w:bookmarkStart w:id="55" w:name="подготовка-tls-сертификатов"/>
    <w:p>
      <w:pPr>
        <w:pStyle w:val="Heading3"/>
      </w:pPr>
      <w:r>
        <w:t xml:space="preserve">3.3.1 Подготовка TLS-сертификатов</w:t>
      </w:r>
    </w:p>
    <w:p>
      <w:pPr>
        <w:pStyle w:val="FirstParagraph"/>
      </w:pPr>
      <w:r>
        <w:t xml:space="preserve">Сертификат и ключ из Dovecot скопированы в соответствующие каталоги TLS для обеспечения совместимости с SELinux. Это позволяет использовать существующие сертификаты для шифрования SMTP-трафика.</w:t>
      </w:r>
    </w:p>
    <w:p>
      <w:pPr>
        <w:pStyle w:val="CaptionedFigure"/>
      </w:pPr>
      <w:r>
        <w:drawing>
          <wp:inline>
            <wp:extent cx="5334000" cy="1184056"/>
            <wp:effectExtent b="0" l="0" r="0" t="0"/>
            <wp:docPr descr="Копирование TLS-сертификатов и настройка параметров в Postfix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TLS-сертификатов и настройка параметров в Postfix</w:t>
      </w:r>
    </w:p>
    <w:bookmarkEnd w:id="55"/>
    <w:bookmarkStart w:id="59" w:name="конфигурация-порта-submission-с-tls"/>
    <w:p>
      <w:pPr>
        <w:pStyle w:val="Heading3"/>
      </w:pPr>
      <w:r>
        <w:t xml:space="preserve">3.3.2 Конфигурация порта submission с TLS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перенастроены службы: на порту 587 запущен submission-сервис с обязательной аутентификацией и поддержкой STARTTLS. Добавлено правило в FirewallD для разрешения трафика на этот порт.</w:t>
      </w:r>
    </w:p>
    <w:p>
      <w:pPr>
        <w:pStyle w:val="CaptionedFigure"/>
      </w:pPr>
      <w:r>
        <w:drawing>
          <wp:inline>
            <wp:extent cx="5334000" cy="1903756"/>
            <wp:effectExtent b="0" l="0" r="0" t="0"/>
            <wp:docPr descr="Настройка submission-порта и правил межсетевого экрана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submission-порта и правил межсетевого экрана</w:t>
      </w:r>
    </w:p>
    <w:bookmarkEnd w:id="59"/>
    <w:bookmarkStart w:id="63" w:name="тестирование-tls-соединения"/>
    <w:p>
      <w:pPr>
        <w:pStyle w:val="Heading3"/>
      </w:pPr>
      <w:r>
        <w:t xml:space="preserve">3.3.3 Тестирование TLS-соединения</w:t>
      </w:r>
    </w:p>
    <w:p>
      <w:pPr>
        <w:pStyle w:val="FirstParagraph"/>
      </w:pPr>
      <w:r>
        <w:t xml:space="preserve">Выполнено тестирование подключения к SMTP-серверу через порт 587 с использованием openssl для проверки поддержки STARTTLS. Проверена аутентификация через зашифрованное соединение, подтверждающая корректность настройки TLS.</w:t>
      </w:r>
    </w:p>
    <w:p>
      <w:pPr>
        <w:pStyle w:val="CaptionedFigure"/>
      </w:pPr>
      <w:r>
        <w:drawing>
          <wp:inline>
            <wp:extent cx="5334000" cy="5476467"/>
            <wp:effectExtent b="0" l="0" r="0" t="0"/>
            <wp:docPr descr="Тестирование TLS-подключения через openssl на порту 587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6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TLS-подключения через openssl на порту 587</w:t>
      </w:r>
    </w:p>
    <w:bookmarkEnd w:id="63"/>
    <w:bookmarkEnd w:id="64"/>
    <w:bookmarkStart w:id="67" w:name="X0e51499ef24d075689e7f227a7a9cc2244d821e"/>
    <w:p>
      <w:pPr>
        <w:pStyle w:val="Heading2"/>
      </w:pPr>
      <w:r>
        <w:t xml:space="preserve">3.4 10.4.4. Автоматизация настройки почтового сервера</w:t>
      </w:r>
    </w:p>
    <w:bookmarkStart w:id="65" w:name="X9d7bc0b9c9c38f523c4d2bf3c43c07f48ec5dc0"/>
    <w:p>
      <w:pPr>
        <w:pStyle w:val="Heading3"/>
      </w:pPr>
      <w:r>
        <w:t xml:space="preserve">3.4.1 Подготовка конфигурационных файлов для Vagrant</w:t>
      </w:r>
    </w:p>
    <w:p>
      <w:pPr>
        <w:pStyle w:val="FirstParagraph"/>
      </w:pPr>
      <w:r>
        <w:t xml:space="preserve">Все измененные конфигурационные файлы Dovecot и Postfix скопированы в соответствующую директорию проекта Vagrant для последующего использования в скрипте автоматической настройки.</w:t>
      </w:r>
    </w:p>
    <w:bookmarkEnd w:id="65"/>
    <w:bookmarkStart w:id="66" w:name="модификация-provisioning-скрипта"/>
    <w:p>
      <w:pPr>
        <w:pStyle w:val="Heading3"/>
      </w:pPr>
      <w:r>
        <w:t xml:space="preserve">3.4.2 Модификация provisioning-скрипта</w:t>
      </w:r>
    </w:p>
    <w:p>
      <w:pPr>
        <w:pStyle w:val="FirstParagraph"/>
      </w:pPr>
      <w:r>
        <w:t xml:space="preserve">Скорректирован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для автоматической настройки всех компонентов почтового сервера, включая установку пакетов, копирование конфигураций, настройку TLS, аутентификации и правил межсетевого экрана.</w:t>
      </w:r>
    </w:p>
    <w:bookmarkEnd w:id="66"/>
    <w:bookmarkEnd w:id="67"/>
    <w:bookmarkEnd w:id="68"/>
    <w:bookmarkStart w:id="6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Приведите пример задания формата аутентификации пользователя в Dovecot в форме логина с указанием домена.</w:t>
      </w:r>
      <w:r>
        <w:br/>
      </w:r>
      <w:r>
        <w:t xml:space="preserve">Для аутентификации в формате логина с доменом необходимо задать:</w:t>
      </w:r>
      <w:r>
        <w:t xml:space="preserve"> </w:t>
      </w:r>
      <w:r>
        <w:rPr>
          <w:rStyle w:val="VerbatimChar"/>
        </w:rPr>
        <w:t xml:space="preserve">auth_username_format = %Ln</w:t>
      </w:r>
      <w:r>
        <w:t xml:space="preserve">. Это сохранит полное имя пользователя с доменной частью.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функции выполняет почтовый Relay-сервер?</w:t>
      </w:r>
      <w:r>
        <w:br/>
      </w:r>
      <w:r>
        <w:t xml:space="preserve">Relay-сервер пересылает почтовые сообщения между различными почтовыми системами, выступая промежуточным звеном. Он может выполнять фильтрацию, кэширование, балансировку нагрузки и обеспечивать дополнительную безопасность.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угрозы безопасности могут возникнуть в случае настройки почтового сервера как Relay-сервера?</w:t>
      </w:r>
      <w:r>
        <w:br/>
      </w:r>
      <w:r>
        <w:t xml:space="preserve">Настройка почтового сервера как открытого ретранслятора может привести к его использованию для спам-рассылок, увеличению нагрузки на сервер, блокировке IP-адреса антиспам-фильтрами и компрометации репутации домена.</w:t>
      </w:r>
    </w:p>
    <w:bookmarkEnd w:id="69"/>
    <w:bookmarkStart w:id="70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3"/>
        </w:numPr>
      </w:pPr>
      <w:r>
        <w:t xml:space="preserve">Освоены методы настройки протокола LMTP в Dovecot для локальной доставки почты.</w:t>
      </w:r>
    </w:p>
    <w:p>
      <w:pPr>
        <w:pStyle w:val="Compact"/>
        <w:numPr>
          <w:ilvl w:val="0"/>
          <w:numId w:val="1003"/>
        </w:numPr>
      </w:pPr>
      <w:r>
        <w:t xml:space="preserve">Реализована аутентификация SMTP через механизм SASL с использованием Dovecot в качестве провайдера аутентификации.</w:t>
      </w:r>
    </w:p>
    <w:p>
      <w:pPr>
        <w:pStyle w:val="Compact"/>
        <w:numPr>
          <w:ilvl w:val="0"/>
          <w:numId w:val="1003"/>
        </w:numPr>
      </w:pPr>
      <w:r>
        <w:t xml:space="preserve">Настроено шифрование SMTP-трафика с использованием TLS на порту submission (587).</w:t>
      </w:r>
    </w:p>
    <w:p>
      <w:pPr>
        <w:pStyle w:val="Compact"/>
        <w:numPr>
          <w:ilvl w:val="0"/>
          <w:numId w:val="1003"/>
        </w:numPr>
      </w:pPr>
      <w:r>
        <w:t xml:space="preserve">Создан автоматизированный сценарий развертывания и настройки почтового сервера в инфраструктуре Vagrant.</w:t>
      </w:r>
    </w:p>
    <w:p>
      <w:pPr>
        <w:pStyle w:val="Compact"/>
        <w:numPr>
          <w:ilvl w:val="0"/>
          <w:numId w:val="1003"/>
        </w:numPr>
      </w:pPr>
      <w:r>
        <w:t xml:space="preserve">Приобретены практические навыки конфигурирования и тестирования расширенных функций почтовых серверов.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Газизянов Владислав Альбертович</dc:creator>
  <dc:language>ru-RU</dc:language>
  <cp:keywords/>
  <dcterms:created xsi:type="dcterms:W3CDTF">2025-12-19T08:29:49Z</dcterms:created>
  <dcterms:modified xsi:type="dcterms:W3CDTF">2025-12-19T08:29:49Z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Расширенные настройки SMTP-сервера</vt:lpwstr>
  </property>
  <property fmtid="{D5CDD505-2E9C-101B-9397-08002B2CF9AE}" pid="14" name="toc-title">
    <vt:lpwstr>Содержание</vt:lpwstr>
  </property>
</Properties>
</file>