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Адресация IPv4 и IPv6. Двойной стек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IPv4 и IPv6 на сетевых устройствах, освоение технологии двойного стека.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разбиение IPv4-сети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Выполнить разбиение IPv6-сети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Настроить двойной стек адресации IPv4 и IPv6 в локальной сети</w:t>
      </w:r>
    </w:p>
    <w:p>
      <w:pPr>
        <w:pStyle w:val="Compact"/>
        <w:numPr>
          <w:ilvl w:val="0"/>
          <w:numId w:val="1001"/>
        </w:numPr>
      </w:pPr>
      <w:r>
        <w:t xml:space="preserve">Выполнить самостоятельное задание по настройке сети</w:t>
      </w:r>
    </w:p>
    <w:bookmarkEnd w:id="21"/>
    <w:bookmarkStart w:id="7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4" w:name="разбиение-ipv4-сети-на-подсети"/>
    <w:p>
      <w:pPr>
        <w:pStyle w:val="Heading2"/>
      </w:pPr>
      <w:r>
        <w:t xml:space="preserve">3.1 Разбиение IPv4-сети на подсети</w:t>
      </w:r>
    </w:p>
    <w:bookmarkStart w:id="25" w:name="задание-1-сеть-172.16.20.024"/>
    <w:p>
      <w:pPr>
        <w:pStyle w:val="Heading3"/>
      </w:pPr>
      <w:r>
        <w:t xml:space="preserve">3.1.1 Задание 1: Сеть 172.16.20.0/24</w:t>
      </w:r>
    </w:p>
    <w:p>
      <w:pPr>
        <w:pStyle w:val="FirstParagraph"/>
      </w:pPr>
      <w:r>
        <w:t xml:space="preserve">Выполнено разбиение сети на 5 подсетей с максимально возможным числом адресов узлов 126, 62, 62. Определены характеристики исходной сети и созданных подсетей.</w:t>
      </w:r>
    </w:p>
    <w:p>
      <w:pPr>
        <w:pStyle w:val="CaptionedFigure"/>
      </w:pPr>
      <w:r>
        <w:drawing>
          <wp:inline>
            <wp:extent cx="5334000" cy="4936335"/>
            <wp:effectExtent b="0" l="0" r="0" t="0"/>
            <wp:docPr descr="Расчет подсетей IPv4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6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Расчет подсетей IPv4</w:t>
      </w:r>
    </w:p>
    <w:bookmarkEnd w:id="25"/>
    <w:bookmarkStart w:id="29" w:name="задание-2-сеть-10.10.1.6426"/>
    <w:p>
      <w:pPr>
        <w:pStyle w:val="Heading3"/>
      </w:pPr>
      <w:r>
        <w:t xml:space="preserve">3.1.2 Задание 2: Сеть 10.10.1.64/26</w:t>
      </w:r>
    </w:p>
    <w:p>
      <w:pPr>
        <w:pStyle w:val="FirstParagraph"/>
      </w:pPr>
      <w:r>
        <w:t xml:space="preserve">Для заданной сети определены префикс, маска, broadcast-адрес, число возможных подсетей, диапазон адресов узлов. Выделена подсеть на 30 узлов с соответствующими характеристиками.</w:t>
      </w:r>
    </w:p>
    <w:p>
      <w:pPr>
        <w:pStyle w:val="CaptionedFigure"/>
      </w:pPr>
      <w:r>
        <w:drawing>
          <wp:inline>
            <wp:extent cx="5334000" cy="7070308"/>
            <wp:effectExtent b="0" l="0" r="0" t="0"/>
            <wp:docPr descr="Характеристики сети 10.10.1.64/26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Характеристики сети 10.10.1.64/26</w:t>
      </w:r>
    </w:p>
    <w:bookmarkEnd w:id="29"/>
    <w:bookmarkStart w:id="33" w:name="задание-3-сеть-10.10.1.026"/>
    <w:p>
      <w:pPr>
        <w:pStyle w:val="Heading3"/>
      </w:pPr>
      <w:r>
        <w:t xml:space="preserve">3.1.3 Задание 3: Сеть 10.10.1.0/26</w:t>
      </w:r>
    </w:p>
    <w:p>
      <w:pPr>
        <w:pStyle w:val="FirstParagraph"/>
      </w:pPr>
      <w:r>
        <w:t xml:space="preserve">Определены параметры сети и выделена подсеть на 14 узлов. Рассчитаны все необходимые сетевые характеристики.</w:t>
      </w:r>
    </w:p>
    <w:p>
      <w:pPr>
        <w:pStyle w:val="CaptionedFigure"/>
      </w:pPr>
      <w:r>
        <w:drawing>
          <wp:inline>
            <wp:extent cx="5334000" cy="2385240"/>
            <wp:effectExtent b="0" l="0" r="0" t="0"/>
            <wp:docPr descr="Выделение подсети на 14 узлов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5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подсети на 14 узлов</w:t>
      </w:r>
    </w:p>
    <w:bookmarkEnd w:id="33"/>
    <w:bookmarkEnd w:id="34"/>
    <w:bookmarkStart w:id="43" w:name="разбиение-ipv6-сети-на-подсети"/>
    <w:p>
      <w:pPr>
        <w:pStyle w:val="Heading2"/>
      </w:pPr>
      <w:r>
        <w:t xml:space="preserve">3.2 Разбиение IPv6-сети на подсети</w:t>
      </w:r>
    </w:p>
    <w:bookmarkStart w:id="38" w:name="задание-1-сеть-2001db8c0de48"/>
    <w:p>
      <w:pPr>
        <w:pStyle w:val="Heading3"/>
      </w:pPr>
      <w:r>
        <w:t xml:space="preserve">3.2.1 Задание 1: Сеть 2001:db8:c0de::/48</w:t>
      </w:r>
    </w:p>
    <w:p>
      <w:pPr>
        <w:pStyle w:val="FirstParagraph"/>
      </w:pPr>
      <w:r>
        <w:t xml:space="preserve">Охарактеризован адрес, определена маска, префикс, диапазон адресов для узлов сети. Выполнено разбиение на 2 подсети двумя способами - с использованием идентификатора подсети и идентификатора интерфейса.</w:t>
      </w:r>
    </w:p>
    <w:p>
      <w:pPr>
        <w:pStyle w:val="CaptionedFigure"/>
      </w:pPr>
      <w:r>
        <w:drawing>
          <wp:inline>
            <wp:extent cx="5334000" cy="3544746"/>
            <wp:effectExtent b="0" l="0" r="0" t="0"/>
            <wp:docPr descr="Разбиение IPv6 сети методом идентификатора подсет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Разбиение IPv6 сети методом идентификатора подсети</w:t>
      </w:r>
    </w:p>
    <w:bookmarkEnd w:id="38"/>
    <w:bookmarkStart w:id="42" w:name="задание-2-сеть-2a026b864"/>
    <w:p>
      <w:pPr>
        <w:pStyle w:val="Heading3"/>
      </w:pPr>
      <w:r>
        <w:t xml:space="preserve">3.2.2 Задание 2: Сеть 2a02:6b8::/64</w:t>
      </w:r>
    </w:p>
    <w:p>
      <w:pPr>
        <w:pStyle w:val="FirstParagraph"/>
      </w:pPr>
      <w:r>
        <w:t xml:space="preserve">Проанализированы характеристики сети и предложены варианты разбиения на две подсети различными методами с пояснением выбранных подходов.</w:t>
      </w:r>
    </w:p>
    <w:p>
      <w:pPr>
        <w:pStyle w:val="CaptionedFigure"/>
      </w:pPr>
      <w:r>
        <w:drawing>
          <wp:inline>
            <wp:extent cx="5334000" cy="3762374"/>
            <wp:effectExtent b="0" l="0" r="0" t="0"/>
            <wp:docPr descr="Разбиение IPv6 сети методом идентификатора интерфейса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Разбиение IPv6 сети методом идентификатора интерфейса</w:t>
      </w:r>
    </w:p>
    <w:bookmarkEnd w:id="42"/>
    <w:bookmarkEnd w:id="43"/>
    <w:bookmarkStart w:id="68" w:name="настройка-двойного-стека-адресации"/>
    <w:p>
      <w:pPr>
        <w:pStyle w:val="Heading2"/>
      </w:pPr>
      <w:r>
        <w:t xml:space="preserve">3.3 Настройка двойного стека адресации</w:t>
      </w:r>
    </w:p>
    <w:bookmarkStart w:id="47" w:name="создание-топологии-сети"/>
    <w:p>
      <w:pPr>
        <w:pStyle w:val="Heading3"/>
      </w:pPr>
      <w:r>
        <w:t xml:space="preserve">3.3.1 Создание топологии сети</w:t>
      </w:r>
    </w:p>
    <w:p>
      <w:pPr>
        <w:pStyle w:val="FirstParagraph"/>
      </w:pPr>
      <w:r>
        <w:t xml:space="preserve">В GNS3 реализована топология сети с двумя локальными подсетями согласно рисунку 6.1. Использованы маршрутизаторы FRR для IPv4 и VyOS для IPv6.</w:t>
      </w:r>
    </w:p>
    <w:p>
      <w:pPr>
        <w:pStyle w:val="CaptionedFigure"/>
      </w:pPr>
      <w:r>
        <w:drawing>
          <wp:inline>
            <wp:extent cx="5334000" cy="3255934"/>
            <wp:effectExtent b="0" l="0" r="0" t="0"/>
            <wp:docPr descr="Топология сети в GNS3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в GNS3</w:t>
      </w:r>
    </w:p>
    <w:bookmarkEnd w:id="47"/>
    <w:bookmarkStart w:id="51" w:name="настройка-ipv4-адресации"/>
    <w:p>
      <w:pPr>
        <w:pStyle w:val="Heading3"/>
      </w:pPr>
      <w:r>
        <w:t xml:space="preserve">3.3.2 Настройка IPv4-адресации</w:t>
      </w:r>
    </w:p>
    <w:p>
      <w:pPr>
        <w:pStyle w:val="FirstParagraph"/>
      </w:pPr>
      <w:r>
        <w:t xml:space="preserve">Выполнена настройка IPv4-адресов на устройствах первой подсети согласно таблице 6.6. Настроены интерфейсы маршрутизатора FRR msk-user-gw-01.</w:t>
      </w:r>
    </w:p>
    <w:p>
      <w:pPr>
        <w:pStyle w:val="CaptionedFigure"/>
      </w:pPr>
      <w:r>
        <w:drawing>
          <wp:inline>
            <wp:extent cx="5197642" cy="1010652"/>
            <wp:effectExtent b="0" l="0" r="0" t="0"/>
            <wp:docPr descr="Настройка маршрутизатора FRR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642" cy="101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FRR</w:t>
      </w:r>
    </w:p>
    <w:bookmarkEnd w:id="51"/>
    <w:bookmarkStart w:id="55" w:name="проверка-ipv4-соединений"/>
    <w:p>
      <w:pPr>
        <w:pStyle w:val="Heading3"/>
      </w:pPr>
      <w:r>
        <w:t xml:space="preserve">3.3.3 Проверка IPv4-соединений</w:t>
      </w:r>
    </w:p>
    <w:p>
      <w:pPr>
        <w:pStyle w:val="FirstParagraph"/>
      </w:pPr>
      <w:r>
        <w:t xml:space="preserve">Проверено подключение между устройствами IPv4-подсети с помощью команд ping и trace. Узлы PC1 и PC2 успешно обмениваются эхо-запросами.</w:t>
      </w:r>
    </w:p>
    <w:p>
      <w:pPr>
        <w:pStyle w:val="CaptionedFigure"/>
      </w:pPr>
      <w:r>
        <w:drawing>
          <wp:inline>
            <wp:extent cx="5334000" cy="1879678"/>
            <wp:effectExtent b="0" l="0" r="0" t="0"/>
            <wp:docPr descr="Проверка соединения между PC1 и PC2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соединения между PC1 и PC2</w:t>
      </w:r>
    </w:p>
    <w:bookmarkEnd w:id="55"/>
    <w:bookmarkStart w:id="59" w:name="настройка-ipv6-адресации"/>
    <w:p>
      <w:pPr>
        <w:pStyle w:val="Heading3"/>
      </w:pPr>
      <w:r>
        <w:t xml:space="preserve">3.3.4 Настройка IPv6-адресации</w:t>
      </w:r>
    </w:p>
    <w:p>
      <w:pPr>
        <w:pStyle w:val="FirstParagraph"/>
      </w:pPr>
      <w:r>
        <w:t xml:space="preserve">Настроены IPv6-адреса на устройствах второй подсети. Выполнена конфигурация маршрутизатора VyOS msk-user-gw-02 с назначением адресов и настройкой сервиса router-advert.</w:t>
      </w:r>
    </w:p>
    <w:p>
      <w:pPr>
        <w:pStyle w:val="CaptionedFigure"/>
      </w:pPr>
      <w:r>
        <w:drawing>
          <wp:inline>
            <wp:extent cx="5334000" cy="1718033"/>
            <wp:effectExtent b="0" l="0" r="0" t="0"/>
            <wp:docPr descr="Конфигурация маршрутизатора VyOS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маршрутизатора VyOS</w:t>
      </w:r>
    </w:p>
    <w:bookmarkEnd w:id="59"/>
    <w:bookmarkStart w:id="63" w:name="проверка-ipv6-соединений"/>
    <w:p>
      <w:pPr>
        <w:pStyle w:val="Heading3"/>
      </w:pPr>
      <w:r>
        <w:t xml:space="preserve">3.3.5 Проверка IPv6-соединений</w:t>
      </w:r>
    </w:p>
    <w:p>
      <w:pPr>
        <w:pStyle w:val="FirstParagraph"/>
      </w:pPr>
      <w:r>
        <w:t xml:space="preserve">Проверена связность между устройствами IPv6-подсети. Узлы PC3 и PC4 успешно отправляют эхо-запросы друг другу и на сервер с двойным стеком.</w:t>
      </w:r>
    </w:p>
    <w:p>
      <w:pPr>
        <w:pStyle w:val="CaptionedFigure"/>
      </w:pPr>
      <w:r>
        <w:drawing>
          <wp:inline>
            <wp:extent cx="5334000" cy="994150"/>
            <wp:effectExtent b="0" l="0" r="0" t="0"/>
            <wp:docPr descr="Проверка IPv6 соединений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 соединений</w:t>
      </w:r>
    </w:p>
    <w:bookmarkEnd w:id="63"/>
    <w:bookmarkStart w:id="67" w:name="анализ-сетевого-трафика"/>
    <w:p>
      <w:pPr>
        <w:pStyle w:val="Heading3"/>
      </w:pPr>
      <w:r>
        <w:t xml:space="preserve">3.3.6 Анализ сетевого трафика</w:t>
      </w:r>
    </w:p>
    <w:p>
      <w:pPr>
        <w:pStyle w:val="FirstParagraph"/>
      </w:pPr>
      <w:r>
        <w:t xml:space="preserve">Захвачен и проанализирован трафик на соединении сервера двойного стека с коммутатором. Изучены пакеты ARP, ICMP, ICMPv6 для понимания механизмов работы протоколов.</w:t>
      </w:r>
    </w:p>
    <w:p>
      <w:pPr>
        <w:pStyle w:val="CaptionedFigure"/>
      </w:pPr>
      <w:r>
        <w:drawing>
          <wp:inline>
            <wp:extent cx="5334000" cy="2058348"/>
            <wp:effectExtent b="0" l="0" r="0" t="0"/>
            <wp:docPr descr="Анализ ARP и ICMP трафика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ARP и ICMP трафика</w:t>
      </w:r>
    </w:p>
    <w:bookmarkEnd w:id="67"/>
    <w:bookmarkEnd w:id="68"/>
    <w:bookmarkStart w:id="77" w:name="самостоятельное-задание"/>
    <w:p>
      <w:pPr>
        <w:pStyle w:val="Heading2"/>
      </w:pPr>
      <w:r>
        <w:t xml:space="preserve">3.4 Самостоятельное задание</w:t>
      </w:r>
    </w:p>
    <w:bookmarkStart w:id="72" w:name="характеристика-подсетей"/>
    <w:p>
      <w:pPr>
        <w:pStyle w:val="Heading3"/>
      </w:pPr>
      <w:r>
        <w:t xml:space="preserve">3.4.1 Характеристика подсетей</w:t>
      </w:r>
    </w:p>
    <w:p>
      <w:pPr>
        <w:pStyle w:val="FirstParagraph"/>
      </w:pPr>
      <w:r>
        <w:t xml:space="preserve">Охарактеризованы заданные подсети, определены диапазоны адресов и сетевые параметры для обеих IPv4 и IPv6 подсетей.</w:t>
      </w:r>
    </w:p>
    <w:p>
      <w:pPr>
        <w:pStyle w:val="CaptionedFigure"/>
      </w:pPr>
      <w:r>
        <w:drawing>
          <wp:inline>
            <wp:extent cx="5334000" cy="3168267"/>
            <wp:effectExtent b="0" l="0" r="0" t="0"/>
            <wp:docPr descr="Характеристики подсетей для самостоятельной работы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Характеристики подсетей для самостоятельной работы</w:t>
      </w:r>
    </w:p>
    <w:bookmarkEnd w:id="72"/>
    <w:bookmarkStart w:id="76" w:name="настройка-сети"/>
    <w:p>
      <w:pPr>
        <w:pStyle w:val="Heading3"/>
      </w:pPr>
      <w:r>
        <w:t xml:space="preserve">3.4.2 Настройка сети</w:t>
      </w:r>
    </w:p>
    <w:p>
      <w:pPr>
        <w:pStyle w:val="FirstParagraph"/>
      </w:pPr>
      <w:r>
        <w:t xml:space="preserve">Разработана таблица адресации, настроены IP-адреса на маршрутизаторе VyOS и оконечных устройствах. Проверена связность между устройствами подсети.</w:t>
      </w:r>
    </w:p>
    <w:p>
      <w:pPr>
        <w:pStyle w:val="CaptionedFigure"/>
      </w:pPr>
      <w:r>
        <w:drawing>
          <wp:inline>
            <wp:extent cx="5334000" cy="2149790"/>
            <wp:effectExtent b="0" l="0" r="0" t="0"/>
            <wp:docPr descr="Проверка подключения в самостоятельной работе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в самостоятельной работе</w:t>
      </w:r>
    </w:p>
    <w:bookmarkEnd w:id="76"/>
    <w:bookmarkEnd w:id="77"/>
    <w:bookmarkEnd w:id="78"/>
    <w:bookmarkStart w:id="79" w:name="выводы"/>
    <w:p>
      <w:pPr>
        <w:pStyle w:val="Heading1"/>
      </w:pPr>
      <w:r>
        <w:t xml:space="preserve">4. Выводы</w:t>
      </w:r>
    </w:p>
    <w:p>
      <w:pPr>
        <w:pStyle w:val="Compact"/>
        <w:numPr>
          <w:ilvl w:val="0"/>
          <w:numId w:val="1002"/>
        </w:numPr>
      </w:pPr>
      <w:r>
        <w:t xml:space="preserve">Освоены принципы разбиения IPv4-сетей на подсети с использованием VLSM</w:t>
      </w:r>
    </w:p>
    <w:p>
      <w:pPr>
        <w:pStyle w:val="Compact"/>
        <w:numPr>
          <w:ilvl w:val="0"/>
          <w:numId w:val="1002"/>
        </w:numPr>
      </w:pPr>
      <w:r>
        <w:t xml:space="preserve">Изучены методы разделения IPv6-сетей с использованием идентификатора подсети и идентификатора интерфейса</w:t>
      </w:r>
    </w:p>
    <w:p>
      <w:pPr>
        <w:pStyle w:val="Compact"/>
        <w:numPr>
          <w:ilvl w:val="0"/>
          <w:numId w:val="1002"/>
        </w:numPr>
      </w:pPr>
      <w:r>
        <w:t xml:space="preserve">Приобретены практические навыки настройки двойного стека адресации в GNS3</w:t>
      </w:r>
    </w:p>
    <w:p>
      <w:pPr>
        <w:pStyle w:val="Compact"/>
        <w:numPr>
          <w:ilvl w:val="0"/>
          <w:numId w:val="1002"/>
        </w:numPr>
      </w:pPr>
      <w:r>
        <w:t xml:space="preserve">Освоена работа с различными типами маршрутизаторов (FRR для IPv4, VyOS для IPv6)</w:t>
      </w:r>
    </w:p>
    <w:p>
      <w:pPr>
        <w:pStyle w:val="Compact"/>
        <w:numPr>
          <w:ilvl w:val="0"/>
          <w:numId w:val="1002"/>
        </w:numPr>
      </w:pPr>
      <w:r>
        <w:t xml:space="preserve">Получен опыт анализа сетевого трафика и диагностики работы сетевых протоколов</w:t>
      </w:r>
    </w:p>
    <w:p>
      <w:pPr>
        <w:pStyle w:val="Compact"/>
        <w:numPr>
          <w:ilvl w:val="0"/>
          <w:numId w:val="1002"/>
        </w:numPr>
      </w:pPr>
      <w:r>
        <w:t xml:space="preserve">Наработаны компетенции по проектированию и конфигурированию сложных сетевых топологий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Газизянов Владислав Альбертович</dc:creator>
  <dc:language>ru-RU</dc:language>
  <cp:keywords/>
  <dcterms:created xsi:type="dcterms:W3CDTF">2025-11-22T18:39:07Z</dcterms:created>
  <dcterms:modified xsi:type="dcterms:W3CDTF">2025-11-22T18:39:07Z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Адресация IPv4 и IPv6. Двойной стек</vt:lpwstr>
  </property>
  <property fmtid="{D5CDD505-2E9C-101B-9397-08002B2CF9AE}" pid="14" name="toc-title">
    <vt:lpwstr>Содержание</vt:lpwstr>
  </property>
</Properties>
</file>