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2. Расчёт сети Fast Ethernet</w:t>
      </w:r>
    </w:p>
    <w:p>
      <w:pPr>
        <w:pStyle w:val="Subtitle"/>
      </w:pPr>
      <w:r>
        <w:t xml:space="preserve">Базовая настройка HTTP-сервера Apache</w:t>
      </w:r>
    </w:p>
    <w:p>
      <w:pPr>
        <w:pStyle w:val="Author"/>
      </w:pPr>
      <w:r>
        <w:t xml:space="preserve">Газизянов Владислав 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5" w:name="цели-работы"/>
    <w:p>
      <w:pPr>
        <w:pStyle w:val="Heading2"/>
      </w:pPr>
      <w:r>
        <w:t xml:space="preserve">1 Цели работы</w:t>
      </w:r>
    </w:p>
    <w:p>
      <w:pPr>
        <w:pStyle w:val="FirstParagraph"/>
      </w:pPr>
      <w:r>
        <w:t xml:space="preserve">Цель работы — изучение принципов технологий Ethernet и Fast Ethernet, а также освоение методик оценки работоспособности сети, построенной на базе технологии Fast Ethernet.</w:t>
      </w:r>
    </w:p>
    <w:bookmarkStart w:id="20" w:name="технология-ethernet"/>
    <w:p>
      <w:pPr>
        <w:pStyle w:val="Heading3"/>
      </w:pPr>
      <w:r>
        <w:t xml:space="preserve">1.1 Технология Ethernet</w:t>
      </w:r>
    </w:p>
    <w:p>
      <w:pPr>
        <w:pStyle w:val="FirstParagraph"/>
      </w:pPr>
      <w:r>
        <w:t xml:space="preserve">Ethernet — технология локальных сетей, основанная на стандарте IEEE 802.3. Использует метод доступа CSMA/CD. Основные версии:</w:t>
      </w:r>
    </w:p>
    <w:p>
      <w:pPr>
        <w:pStyle w:val="Compact"/>
        <w:numPr>
          <w:ilvl w:val="0"/>
          <w:numId w:val="1001"/>
        </w:numPr>
      </w:pPr>
      <w:r>
        <w:t xml:space="preserve">Ethernet (10 Мбит/с)</w:t>
      </w:r>
    </w:p>
    <w:p>
      <w:pPr>
        <w:pStyle w:val="Compact"/>
        <w:numPr>
          <w:ilvl w:val="0"/>
          <w:numId w:val="1001"/>
        </w:numPr>
      </w:pPr>
      <w:r>
        <w:t xml:space="preserve">Fast Ethernet (100 Мбит/с)</w:t>
      </w:r>
    </w:p>
    <w:p>
      <w:pPr>
        <w:pStyle w:val="Compact"/>
        <w:numPr>
          <w:ilvl w:val="0"/>
          <w:numId w:val="1001"/>
        </w:numPr>
      </w:pPr>
      <w:r>
        <w:t xml:space="preserve">Gigabit Ethernet (1000 Мбит/с)</w:t>
      </w:r>
    </w:p>
    <w:p>
      <w:pPr>
        <w:pStyle w:val="Compact"/>
        <w:numPr>
          <w:ilvl w:val="0"/>
          <w:numId w:val="1001"/>
        </w:numPr>
      </w:pPr>
      <w:r>
        <w:t xml:space="preserve">10 Gigabit Ethernet</w:t>
      </w:r>
    </w:p>
    <w:p>
      <w:pPr>
        <w:pStyle w:val="FirstParagraph"/>
      </w:pPr>
      <w:r>
        <w:t xml:space="preserve">Формат кадра Ethernet включает преамбулу, MAC-адреса, поле типа/длины, данные и FCS. Минимальный размер кадра — 64 байта, максимальный — 1518 байт (1522 с VLAN).</w:t>
      </w:r>
    </w:p>
    <w:bookmarkEnd w:id="20"/>
    <w:bookmarkStart w:id="21" w:name="технология-fast-ethernet"/>
    <w:p>
      <w:pPr>
        <w:pStyle w:val="Heading3"/>
      </w:pPr>
      <w:r>
        <w:t xml:space="preserve">1.2 Технология Fast Ethernet</w:t>
      </w:r>
    </w:p>
    <w:p>
      <w:pPr>
        <w:pStyle w:val="FirstParagraph"/>
      </w:pPr>
      <w:r>
        <w:t xml:space="preserve">Fast Ethernet (100 Мбит/с) сохраняет формат кадра и метод доступа CSMA/CD, но уменьшает битовый интервал до 0,01 мкс. Используются среды:</w:t>
      </w:r>
    </w:p>
    <w:p>
      <w:pPr>
        <w:pStyle w:val="Compact"/>
        <w:numPr>
          <w:ilvl w:val="0"/>
          <w:numId w:val="1002"/>
        </w:numPr>
      </w:pPr>
      <w:r>
        <w:t xml:space="preserve">100BASE-TX (витая пара Cat 5)</w:t>
      </w:r>
    </w:p>
    <w:p>
      <w:pPr>
        <w:pStyle w:val="Compact"/>
        <w:numPr>
          <w:ilvl w:val="0"/>
          <w:numId w:val="1002"/>
        </w:numPr>
      </w:pPr>
      <w:r>
        <w:t xml:space="preserve">100BASE-FX (оптоволокно)</w:t>
      </w:r>
    </w:p>
    <w:bookmarkEnd w:id="21"/>
    <w:bookmarkStart w:id="24" w:name="правила-построения-сети-fast-ethernet"/>
    <w:p>
      <w:pPr>
        <w:pStyle w:val="Heading3"/>
      </w:pPr>
      <w:r>
        <w:t xml:space="preserve">1.3 Правила построения сети Fast Ethernet</w:t>
      </w:r>
    </w:p>
    <w:bookmarkStart w:id="22" w:name="первая-модель-структурная"/>
    <w:p>
      <w:pPr>
        <w:pStyle w:val="Heading4"/>
      </w:pPr>
      <w:r>
        <w:t xml:space="preserve">1.3.1 Первая модель (структурная)</w:t>
      </w:r>
    </w:p>
    <w:p>
      <w:pPr>
        <w:pStyle w:val="Compact"/>
        <w:numPr>
          <w:ilvl w:val="0"/>
          <w:numId w:val="1003"/>
        </w:numPr>
      </w:pPr>
      <w:r>
        <w:t xml:space="preserve">Длина сегмента витой пары ≤ 100 м</w:t>
      </w:r>
    </w:p>
    <w:p>
      <w:pPr>
        <w:pStyle w:val="Compact"/>
        <w:numPr>
          <w:ilvl w:val="0"/>
          <w:numId w:val="1003"/>
        </w:numPr>
      </w:pPr>
      <w:r>
        <w:t xml:space="preserve">Длина оптоволоконного сегмента ≤ 412 м</w:t>
      </w:r>
    </w:p>
    <w:p>
      <w:pPr>
        <w:pStyle w:val="Compact"/>
        <w:numPr>
          <w:ilvl w:val="0"/>
          <w:numId w:val="1003"/>
        </w:numPr>
      </w:pPr>
      <w:r>
        <w:t xml:space="preserve">Ограничения на количество повторителей:</w:t>
      </w:r>
    </w:p>
    <w:p>
      <w:pPr>
        <w:pStyle w:val="Compact"/>
        <w:numPr>
          <w:ilvl w:val="1"/>
          <w:numId w:val="1004"/>
        </w:numPr>
      </w:pPr>
      <w:r>
        <w:t xml:space="preserve">Класс I: один в домене коллизий</w:t>
      </w:r>
    </w:p>
    <w:p>
      <w:pPr>
        <w:pStyle w:val="Compact"/>
        <w:numPr>
          <w:ilvl w:val="1"/>
          <w:numId w:val="1004"/>
        </w:numPr>
      </w:pPr>
      <w:r>
        <w:t xml:space="preserve">Класс II: до двух</w:t>
      </w:r>
    </w:p>
    <w:bookmarkEnd w:id="22"/>
    <w:bookmarkStart w:id="23" w:name="вторая-модель-временная"/>
    <w:p>
      <w:pPr>
        <w:pStyle w:val="Heading4"/>
      </w:pPr>
      <w:r>
        <w:t xml:space="preserve">1.3.2 Вторая модель (временная)</w:t>
      </w:r>
    </w:p>
    <w:p>
      <w:pPr>
        <w:pStyle w:val="FirstParagraph"/>
      </w:pPr>
      <w:r>
        <w:t xml:space="preserve">Оценка работоспособности сети по времени двойного оборота (PDV — Propagation Delay Value):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PDV_{</w:t>
      </w:r>
      <w:r>
        <w:t xml:space="preserve">} =</w:t>
      </w:r>
      <w:r>
        <w:t xml:space="preserve"> </w:t>
      </w:r>
      <w:r>
        <w:t xml:space="preserve">PDV_{</w:t>
      </w:r>
      <w:r>
        <w:t xml:space="preserve">} + PDV_{</w:t>
      </w:r>
      <w:r>
        <w:t xml:space="preserve">} + PDV_{</w:t>
      </w:r>
      <w:r>
        <w:t xml:space="preserve">} + 4 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Условие работоспособности: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PDV_{</w:t>
      </w:r>
      <w:r>
        <w:t xml:space="preserve">}</w:t>
      </w:r>
      <w:r>
        <w:t xml:space="preserve"> </w:t>
      </w:r>
      <w:r>
        <w:t xml:space="preserve"> </w:t>
      </w:r>
      <w:r>
        <w:t xml:space="preserve"> </w:t>
      </w:r>
      <w:r>
        <w:t xml:space="preserve">]</w:t>
      </w:r>
    </w:p>
    <w:bookmarkEnd w:id="23"/>
    <w:bookmarkEnd w:id="24"/>
    <w:bookmarkEnd w:id="25"/>
    <w:bookmarkStart w:id="26" w:name="задание-для-выполнения"/>
    <w:p>
      <w:pPr>
        <w:pStyle w:val="Heading2"/>
      </w:pPr>
      <w:r>
        <w:t xml:space="preserve">2 Задание для выполнения</w:t>
      </w:r>
    </w:p>
    <w:p>
      <w:pPr>
        <w:pStyle w:val="FirstParagraph"/>
      </w:pPr>
      <w:r>
        <w:t xml:space="preserve">Дана конфигурация сети Fast Ethernet (вариант 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Сегмент</w:t>
            </w:r>
          </w:p>
        </w:tc>
        <w:tc>
          <w:tcPr/>
          <w:p>
            <w:pPr>
              <w:pStyle w:val="Compact"/>
            </w:pPr>
            <w:r>
              <w:t xml:space="preserve">Тип</w:t>
            </w:r>
          </w:p>
        </w:tc>
        <w:tc>
          <w:tcPr/>
          <w:p>
            <w:pPr>
              <w:pStyle w:val="Compact"/>
            </w:pPr>
            <w:r>
              <w:t xml:space="preserve">Длина, м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100BASE-TX</w:t>
            </w:r>
          </w:p>
        </w:tc>
        <w:tc>
          <w:tcPr/>
          <w:p>
            <w:pPr>
              <w:pStyle w:val="Compac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100BASE-TX</w:t>
            </w:r>
          </w:p>
        </w:tc>
        <w:tc>
          <w:tcPr/>
          <w:p>
            <w:pPr>
              <w:pStyle w:val="Compac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100BASE-TX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100BASE-TX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100BASE-TX</w:t>
            </w:r>
          </w:p>
        </w:tc>
        <w:tc>
          <w:tcPr/>
          <w:p>
            <w:pPr>
              <w:pStyle w:val="Compac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100BASE-TX</w:t>
            </w:r>
          </w:p>
        </w:tc>
        <w:tc>
          <w:tcPr/>
          <w:p>
            <w:pPr>
              <w:pStyle w:val="Compact"/>
            </w:pPr>
            <w:r>
              <w:t xml:space="preserve">97</w:t>
            </w:r>
          </w:p>
        </w:tc>
      </w:tr>
    </w:tbl>
    <w:p>
      <w:pPr>
        <w:pStyle w:val="BodyText"/>
      </w:pPr>
      <w:r>
        <w:t xml:space="preserve">Топология сети соответствует рис. 2.4: два повторителя класса II, соединяющие шесть сегментов.</w:t>
      </w:r>
    </w:p>
    <w:bookmarkEnd w:id="26"/>
    <w:bookmarkStart w:id="29" w:name="расчёты"/>
    <w:p>
      <w:pPr>
        <w:pStyle w:val="Heading2"/>
      </w:pPr>
      <w:r>
        <w:t xml:space="preserve">3 Расчёты</w:t>
      </w:r>
    </w:p>
    <w:bookmarkStart w:id="27" w:name="по-первой-модели"/>
    <w:p>
      <w:pPr>
        <w:pStyle w:val="Heading3"/>
      </w:pPr>
      <w:r>
        <w:t xml:space="preserve">3.1 По первой модели</w:t>
      </w:r>
    </w:p>
    <w:p>
      <w:pPr>
        <w:pStyle w:val="FirstParagraph"/>
      </w:pPr>
      <w:r>
        <w:t xml:space="preserve">Суммарная длина кабеля между крайними узлами (наихудший путь):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L_{</w:t>
      </w:r>
      <w:r>
        <w:t xml:space="preserve">} = 96 + 92 + 5 + 97 = 290 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Максимально допустимая длина для двух повторителей класса II и сегментов TX: 205 м (табл. 2.1).</w:t>
      </w:r>
      <w:r>
        <w:br/>
      </w:r>
      <w:r>
        <w:rPr>
          <w:b/>
          <w:bCs/>
        </w:rPr>
        <w:t xml:space="preserve">Вывод:</w:t>
      </w:r>
      <w:r>
        <w:t xml:space="preserve"> </w:t>
      </w:r>
      <w:r>
        <w:t xml:space="preserve">По первой моделью сеть</w:t>
      </w:r>
      <w:r>
        <w:t xml:space="preserve"> </w:t>
      </w:r>
      <w:r>
        <w:rPr>
          <w:b/>
          <w:bCs/>
        </w:rPr>
        <w:t xml:space="preserve">не работоспособна</w:t>
      </w:r>
      <w:r>
        <w:t xml:space="preserve">, т.к. 290 м &gt; 205 м.</w:t>
      </w:r>
    </w:p>
    <w:bookmarkEnd w:id="27"/>
    <w:bookmarkStart w:id="28" w:name="по-второй-модели"/>
    <w:p>
      <w:pPr>
        <w:pStyle w:val="Heading3"/>
      </w:pPr>
      <w:r>
        <w:t xml:space="preserve">3.2 По второй модели</w:t>
      </w:r>
    </w:p>
    <w:p>
      <w:pPr>
        <w:pStyle w:val="FirstParagraph"/>
      </w:pPr>
      <w:r>
        <w:t xml:space="preserve">Расчёт PDV для наихудшего пути (через все сегменты и два повторителя):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77"/>
        <w:gridCol w:w="1827"/>
        <w:gridCol w:w="1218"/>
        <w:gridCol w:w="109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Компонент</w:t>
            </w:r>
          </w:p>
        </w:tc>
        <w:tc>
          <w:tcPr/>
          <w:p>
            <w:pPr>
              <w:pStyle w:val="Compact"/>
            </w:pPr>
            <w:r>
              <w:t xml:space="preserve">Уд. PDV, би/м</w:t>
            </w:r>
          </w:p>
        </w:tc>
        <w:tc>
          <w:tcPr/>
          <w:p>
            <w:pPr>
              <w:pStyle w:val="Compact"/>
            </w:pPr>
            <w:r>
              <w:t xml:space="preserve">Длина, м</w:t>
            </w:r>
          </w:p>
        </w:tc>
        <w:tc>
          <w:tcPr/>
          <w:p>
            <w:pPr>
              <w:pStyle w:val="Compact"/>
            </w:pPr>
            <w:r>
              <w:t xml:space="preserve">PDV, би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Пара терминалов TX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Сегмент 1 (Cat 5)</w:t>
            </w:r>
          </w:p>
        </w:tc>
        <w:tc>
          <w:tcPr/>
          <w:p>
            <w:pPr>
              <w:pStyle w:val="Compact"/>
            </w:pPr>
            <w:r>
              <w:t xml:space="preserve">1,112</w:t>
            </w:r>
          </w:p>
        </w:tc>
        <w:tc>
          <w:tcPr/>
          <w:p>
            <w:pPr>
              <w:pStyle w:val="Compac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  <w:r>
              <w:t xml:space="preserve">106,75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Сегмент 2 (Cat 5)</w:t>
            </w:r>
          </w:p>
        </w:tc>
        <w:tc>
          <w:tcPr/>
          <w:p>
            <w:pPr>
              <w:pStyle w:val="Compact"/>
            </w:pPr>
            <w:r>
              <w:t xml:space="preserve">1,112</w:t>
            </w:r>
          </w:p>
        </w:tc>
        <w:tc>
          <w:tcPr/>
          <w:p>
            <w:pPr>
              <w:pStyle w:val="Compact"/>
            </w:pPr>
            <w:r>
              <w:t xml:space="preserve">92</w:t>
            </w:r>
          </w:p>
        </w:tc>
        <w:tc>
          <w:tcPr/>
          <w:p>
            <w:pPr>
              <w:pStyle w:val="Compact"/>
            </w:pPr>
            <w:r>
              <w:t xml:space="preserve">102,30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Сегмент 4 (Cat 5)</w:t>
            </w:r>
          </w:p>
        </w:tc>
        <w:tc>
          <w:tcPr/>
          <w:p>
            <w:pPr>
              <w:pStyle w:val="Compact"/>
            </w:pPr>
            <w:r>
              <w:t xml:space="preserve">1,112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5,56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Сегмент 5 (Cat 5)</w:t>
            </w:r>
          </w:p>
        </w:tc>
        <w:tc>
          <w:tcPr/>
          <w:p>
            <w:pPr>
              <w:pStyle w:val="Compact"/>
            </w:pPr>
            <w:r>
              <w:t xml:space="preserve">1,112</w:t>
            </w:r>
          </w:p>
        </w:tc>
        <w:tc>
          <w:tcPr/>
          <w:p>
            <w:pPr>
              <w:pStyle w:val="Compact"/>
            </w:pPr>
            <w:r>
              <w:t xml:space="preserve">97</w:t>
            </w:r>
          </w:p>
        </w:tc>
        <w:tc>
          <w:tcPr/>
          <w:p>
            <w:pPr>
              <w:pStyle w:val="Compact"/>
            </w:pPr>
            <w:r>
              <w:t xml:space="preserve">107,86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Повторитель класса II (TX)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Повторитель класса II (TX)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Сумма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606,47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+ страховой запас 4 би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610,47</w:t>
            </w:r>
          </w:p>
        </w:tc>
      </w:tr>
    </w:tbl>
    <w:p>
      <w:pPr>
        <w:pStyle w:val="BodyText"/>
      </w:pPr>
      <w:r>
        <w:t xml:space="preserve">Условие: ( PDV</w:t>
      </w:r>
      <w:r>
        <w:t xml:space="preserve"> </w:t>
      </w:r>
      <w:r>
        <w:t xml:space="preserve"> </w:t>
      </w:r>
      <w:r>
        <w:t xml:space="preserve">) би.</w:t>
      </w:r>
      <w:r>
        <w:br/>
      </w:r>
      <w:r>
        <w:rPr>
          <w:b/>
          <w:bCs/>
        </w:rPr>
        <w:t xml:space="preserve">Вывод:</w:t>
      </w:r>
      <w:r>
        <w:t xml:space="preserve"> </w:t>
      </w:r>
      <w:r>
        <w:t xml:space="preserve">По второй моделью сеть</w:t>
      </w:r>
      <w:r>
        <w:t xml:space="preserve"> </w:t>
      </w:r>
      <w:r>
        <w:rPr>
          <w:b/>
          <w:bCs/>
        </w:rPr>
        <w:t xml:space="preserve">не работоспособна</w:t>
      </w:r>
      <w:r>
        <w:t xml:space="preserve">, т.к. 610,47 &gt; 512.</w:t>
      </w:r>
    </w:p>
    <w:bookmarkEnd w:id="28"/>
    <w:bookmarkEnd w:id="29"/>
    <w:bookmarkStart w:id="30" w:name="выводы"/>
    <w:p>
      <w:pPr>
        <w:pStyle w:val="Heading2"/>
      </w:pPr>
      <w:r>
        <w:t xml:space="preserve">4 Выводы</w:t>
      </w:r>
    </w:p>
    <w:p>
      <w:pPr>
        <w:pStyle w:val="Compact"/>
        <w:numPr>
          <w:ilvl w:val="0"/>
          <w:numId w:val="1005"/>
        </w:numPr>
      </w:pPr>
      <w:r>
        <w:t xml:space="preserve">Обе модели показали, что предложенная конфигурация сети Fast Ethernet</w:t>
      </w:r>
      <w:r>
        <w:t xml:space="preserve"> </w:t>
      </w:r>
      <w:r>
        <w:rPr>
          <w:b/>
          <w:bCs/>
        </w:rPr>
        <w:t xml:space="preserve">не удовлетворяет</w:t>
      </w:r>
      <w:r>
        <w:t xml:space="preserve"> </w:t>
      </w:r>
      <w:r>
        <w:t xml:space="preserve">требованиям стандарта.</w:t>
      </w:r>
    </w:p>
    <w:p>
      <w:pPr>
        <w:pStyle w:val="Compact"/>
        <w:numPr>
          <w:ilvl w:val="0"/>
          <w:numId w:val="1005"/>
        </w:numPr>
      </w:pPr>
      <w:r>
        <w:t xml:space="preserve">Превышены как структурные ограничения (длина сегментов), так и временные (PDV &gt; 512 би).</w:t>
      </w:r>
    </w:p>
    <w:p>
      <w:pPr>
        <w:pStyle w:val="Compact"/>
        <w:numPr>
          <w:ilvl w:val="0"/>
          <w:numId w:val="1005"/>
        </w:numPr>
      </w:pPr>
      <w:r>
        <w:t xml:space="preserve">Для обеспечения работоспособности необходимо уменьшить длину сегментов или изменить топологию (например, использовать коммутаторы вместо повторителей).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2. Расчёт сети Fast Ethernet</dc:title>
  <dc:creator>Газизянов Владислав Альбертович</dc:creator>
  <dc:language>ru-RU</dc:language>
  <cp:keywords/>
  <dcterms:created xsi:type="dcterms:W3CDTF">2025-09-27T09:07:17Z</dcterms:created>
  <dcterms:modified xsi:type="dcterms:W3CDTF">2025-09-27T09:07:17Z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Базовая настройка HTTP-сервера Apache</vt:lpwstr>
  </property>
  <property fmtid="{D5CDD505-2E9C-101B-9397-08002B2CF9AE}" pid="14" name="toc-title">
    <vt:lpwstr>Содержание</vt:lpwstr>
  </property>
</Properties>
</file>