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jpeg" ContentType="image/jpeg"/>
  <Override PartName="/word/media/image3.jpeg" ContentType="image/jpe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rFonts w:ascii="Calibri" w:hAnsi="Calibri"/>
          <w:sz w:val="48"/>
          <w:szCs w:val="48"/>
        </w:rPr>
      </w:pPr>
      <w:r>
        <w:rPr>
          <w:sz w:val="48"/>
          <w:szCs w:val="48"/>
        </w:rPr>
      </w:r>
    </w:p>
    <w:p>
      <w:pPr>
        <w:pStyle w:val="BodyText"/>
        <w:spacing w:before="360" w:after="80"/>
        <w:rPr>
          <w:rFonts w:ascii="Calibri" w:hAnsi="Calibri"/>
          <w:sz w:val="48"/>
          <w:szCs w:val="48"/>
        </w:rPr>
      </w:pPr>
      <w:r>
        <w:rPr>
          <w:rFonts w:ascii="Calibri" w:hAnsi="Calibri"/>
          <w:sz w:val="48"/>
          <w:szCs w:val="48"/>
        </w:rPr>
      </w:r>
    </w:p>
    <w:p>
      <w:pPr>
        <w:pStyle w:val="BodyText"/>
        <w:spacing w:before="360" w:after="80"/>
        <w:rPr>
          <w:rFonts w:ascii="Calibri" w:hAnsi="Calibri"/>
          <w:sz w:val="48"/>
          <w:szCs w:val="48"/>
        </w:rPr>
      </w:pPr>
      <w:r>
        <w:rPr>
          <w:rFonts w:ascii="Calibri" w:hAnsi="Calibri"/>
          <w:sz w:val="48"/>
          <w:szCs w:val="48"/>
        </w:rPr>
      </w:r>
    </w:p>
    <w:p>
      <w:pPr>
        <w:pStyle w:val="BodyText"/>
        <w:spacing w:before="360" w:after="80"/>
        <w:rPr>
          <w:rFonts w:ascii="Calibri" w:hAnsi="Calibri"/>
          <w:sz w:val="48"/>
          <w:szCs w:val="48"/>
        </w:rPr>
      </w:pPr>
      <w:r>
        <w:rPr>
          <w:rFonts w:ascii="Calibri" w:hAnsi="Calibri"/>
          <w:sz w:val="48"/>
          <w:szCs w:val="48"/>
        </w:rPr>
      </w:r>
    </w:p>
    <w:p>
      <w:pPr>
        <w:pStyle w:val="BodyText"/>
        <w:spacing w:before="360" w:after="80"/>
        <w:rPr>
          <w:rFonts w:ascii="Calibri" w:hAnsi="Calibri"/>
          <w:sz w:val="48"/>
          <w:szCs w:val="48"/>
        </w:rPr>
      </w:pPr>
      <w:r>
        <w:rPr>
          <w:rFonts w:ascii="Calibri" w:hAnsi="Calibri"/>
          <w:sz w:val="48"/>
          <w:szCs w:val="48"/>
        </w:rPr>
      </w:r>
    </w:p>
    <w:p>
      <w:pPr>
        <w:pStyle w:val="Heading1"/>
        <w:spacing w:before="360" w:after="80"/>
        <w:jc w:val="center"/>
        <w:rPr>
          <w:rFonts w:ascii="Calibri" w:hAnsi="Calibri"/>
          <w:b/>
          <w:bCs/>
          <w:sz w:val="64"/>
          <w:szCs w:val="64"/>
        </w:rPr>
      </w:pPr>
      <w:bookmarkStart w:id="0" w:name="__RefHeading___Toc2271_4124369062"/>
      <w:bookmarkEnd w:id="0"/>
      <w:r>
        <w:rPr>
          <w:b/>
          <w:bCs/>
          <w:sz w:val="64"/>
          <w:szCs w:val="64"/>
        </w:rPr>
        <w:t>Processo de Garantia JAN – SAP</w:t>
      </w:r>
    </w:p>
    <w:p>
      <w:pPr>
        <w:pStyle w:val="BodyText"/>
        <w:spacing w:before="360" w:after="80"/>
        <w:rPr>
          <w:rFonts w:ascii="Calibri" w:hAnsi="Calibri"/>
          <w:sz w:val="48"/>
          <w:szCs w:val="48"/>
        </w:rPr>
      </w:pPr>
      <w:r>
        <w:rPr>
          <w:rFonts w:ascii="Calibri" w:hAnsi="Calibri"/>
          <w:sz w:val="48"/>
          <w:szCs w:val="48"/>
        </w:rPr>
      </w:r>
    </w:p>
    <w:p>
      <w:pPr>
        <w:pStyle w:val="BodyText"/>
        <w:spacing w:before="360" w:after="80"/>
        <w:rPr>
          <w:rFonts w:ascii="Calibri" w:hAnsi="Calibri"/>
          <w:sz w:val="48"/>
          <w:szCs w:val="48"/>
        </w:rPr>
      </w:pPr>
      <w:r>
        <w:rPr>
          <w:rFonts w:ascii="Calibri" w:hAnsi="Calibri"/>
          <w:sz w:val="48"/>
          <w:szCs w:val="48"/>
        </w:rPr>
      </w:r>
    </w:p>
    <w:p>
      <w:pPr>
        <w:pStyle w:val="BodyText"/>
        <w:spacing w:before="360" w:after="80"/>
        <w:rPr>
          <w:rFonts w:ascii="Calibri" w:hAnsi="Calibri"/>
          <w:sz w:val="48"/>
          <w:szCs w:val="48"/>
        </w:rPr>
      </w:pPr>
      <w:r>
        <w:rPr>
          <w:rFonts w:ascii="Calibri" w:hAnsi="Calibri"/>
          <w:sz w:val="48"/>
          <w:szCs w:val="48"/>
        </w:rPr>
      </w:r>
    </w:p>
    <w:p>
      <w:pPr>
        <w:pStyle w:val="BodyText"/>
        <w:spacing w:before="360" w:after="80"/>
        <w:rPr>
          <w:rFonts w:ascii="Calibri" w:hAnsi="Calibri"/>
          <w:sz w:val="48"/>
          <w:szCs w:val="48"/>
        </w:rPr>
      </w:pPr>
      <w:r>
        <w:rPr>
          <w:rFonts w:ascii="Calibri" w:hAnsi="Calibri"/>
          <w:sz w:val="48"/>
          <w:szCs w:val="48"/>
        </w:rPr>
      </w:r>
    </w:p>
    <w:p>
      <w:pPr>
        <w:pStyle w:val="BodyText"/>
        <w:spacing w:before="360" w:after="80"/>
        <w:rPr>
          <w:rFonts w:ascii="Calibri" w:hAnsi="Calibri"/>
          <w:sz w:val="48"/>
          <w:szCs w:val="48"/>
        </w:rPr>
      </w:pPr>
      <w:r>
        <w:rPr>
          <w:rFonts w:ascii="Calibri" w:hAnsi="Calibri"/>
          <w:sz w:val="48"/>
          <w:szCs w:val="48"/>
        </w:rPr>
      </w:r>
    </w:p>
    <w:p>
      <w:pPr>
        <w:pStyle w:val="BodyText"/>
        <w:spacing w:before="360" w:after="80"/>
        <w:rPr>
          <w:rFonts w:ascii="Calibri" w:hAnsi="Calibri"/>
          <w:sz w:val="48"/>
          <w:szCs w:val="48"/>
        </w:rPr>
      </w:pPr>
      <w:r>
        <w:rPr>
          <w:rFonts w:ascii="Calibri" w:hAnsi="Calibri"/>
          <w:sz w:val="48"/>
          <w:szCs w:val="48"/>
        </w:rPr>
      </w:r>
    </w:p>
    <w:p>
      <w:pPr>
        <w:pStyle w:val="BodyText"/>
        <w:spacing w:before="360" w:after="80"/>
        <w:rPr>
          <w:rFonts w:ascii="Calibri" w:hAnsi="Calibri"/>
          <w:sz w:val="48"/>
          <w:szCs w:val="48"/>
        </w:rPr>
      </w:pPr>
      <w:r>
        <w:rPr>
          <w:rFonts w:ascii="Calibri" w:hAnsi="Calibri"/>
          <w:sz w:val="48"/>
          <w:szCs w:val="48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rFonts w:ascii="Calibri" w:hAnsi="Calibri"/>
            </w:rPr>
          </w:pPr>
          <w:r>
            <w:rPr>
              <w:rFonts w:ascii="Calibri" w:hAnsi="Calibri"/>
            </w:rPr>
            <w:t>Sumário</w:t>
          </w:r>
        </w:p>
        <w:p>
          <w:pPr>
            <w:pStyle w:val="TOC1"/>
            <w:tabs>
              <w:tab w:val="clear" w:pos="9405"/>
              <w:tab w:val="right" w:pos="9404" w:leader="dot"/>
            </w:tabs>
            <w:spacing w:lineRule="auto" w:line="211"/>
            <w:rPr/>
          </w:pPr>
          <w:r>
            <w:fldChar w:fldCharType="begin"/>
          </w:r>
          <w:r>
            <w:rPr>
              <w:rStyle w:val="Vnculodendice"/>
            </w:rPr>
            <w:instrText xml:space="preserve"> TOC \f \o "1-9" \h</w:instrText>
          </w:r>
          <w:r>
            <w:rPr>
              <w:rStyle w:val="Vnculodendice"/>
            </w:rPr>
            <w:fldChar w:fldCharType="separate"/>
          </w:r>
          <w:hyperlink w:anchor="__RefHeading___Toc2271_4124369062">
            <w:r>
              <w:rPr>
                <w:rStyle w:val="Vnculodendice"/>
              </w:rPr>
              <w:t>Processo de Garantia JAN – SAP</w:t>
            </w:r>
            <w:r>
              <w:rPr>
                <w:rStyle w:val="Vnculodendice"/>
              </w:rPr>
              <w:tab/>
              <w:t>1</w:t>
            </w:r>
          </w:hyperlink>
        </w:p>
        <w:p>
          <w:pPr>
            <w:pStyle w:val="TOC1"/>
            <w:tabs>
              <w:tab w:val="clear" w:pos="9405"/>
              <w:tab w:val="right" w:pos="9404" w:leader="dot"/>
            </w:tabs>
            <w:spacing w:lineRule="auto" w:line="211"/>
            <w:rPr/>
          </w:pPr>
          <w:hyperlink w:anchor="__RefHeading___Toc2273_4124369062">
            <w:r>
              <w:rPr>
                <w:rStyle w:val="Vnculodendice"/>
              </w:rPr>
              <w:t>1. Visão Geral</w:t>
              <w:tab/>
              <w:t>4</w:t>
            </w:r>
          </w:hyperlink>
        </w:p>
        <w:p>
          <w:pPr>
            <w:pStyle w:val="TOC2"/>
            <w:tabs>
              <w:tab w:val="clear" w:pos="9122"/>
              <w:tab w:val="right" w:pos="9404" w:leader="dot"/>
            </w:tabs>
            <w:spacing w:lineRule="auto" w:line="211"/>
            <w:rPr/>
          </w:pPr>
          <w:hyperlink w:anchor="__RefHeading___Toc2275_4124369062">
            <w:r>
              <w:rPr>
                <w:rStyle w:val="Vnculodendice"/>
              </w:rPr>
              <w:t>1.1 Objetivo do Processo</w:t>
              <w:tab/>
              <w:t>4</w:t>
            </w:r>
          </w:hyperlink>
        </w:p>
        <w:p>
          <w:pPr>
            <w:pStyle w:val="TOC2"/>
            <w:tabs>
              <w:tab w:val="clear" w:pos="9122"/>
              <w:tab w:val="right" w:pos="9404" w:leader="dot"/>
            </w:tabs>
            <w:spacing w:lineRule="auto" w:line="211"/>
            <w:rPr/>
          </w:pPr>
          <w:hyperlink w:anchor="__RefHeading___Toc2277_4124369062">
            <w:r>
              <w:rPr>
                <w:rStyle w:val="Vnculodendice"/>
              </w:rPr>
              <w:t>1.2 Contexto Operacional</w:t>
              <w:tab/>
              <w:t>4</w:t>
            </w:r>
          </w:hyperlink>
        </w:p>
        <w:p>
          <w:pPr>
            <w:pStyle w:val="TOC2"/>
            <w:tabs>
              <w:tab w:val="clear" w:pos="9122"/>
              <w:tab w:val="right" w:pos="9404" w:leader="dot"/>
            </w:tabs>
            <w:spacing w:lineRule="auto" w:line="211"/>
            <w:rPr/>
          </w:pPr>
          <w:hyperlink w:anchor="__RefHeading___Toc2279_4124369062">
            <w:r>
              <w:rPr>
                <w:rStyle w:val="Vnculodendice"/>
              </w:rPr>
              <w:t>1.3 Áreas Envolvidas</w:t>
              <w:tab/>
              <w:t>4</w:t>
            </w:r>
          </w:hyperlink>
        </w:p>
        <w:p>
          <w:pPr>
            <w:pStyle w:val="TOC1"/>
            <w:tabs>
              <w:tab w:val="clear" w:pos="9405"/>
              <w:tab w:val="right" w:pos="9404" w:leader="dot"/>
            </w:tabs>
            <w:spacing w:lineRule="auto" w:line="211"/>
            <w:rPr/>
          </w:pPr>
          <w:hyperlink w:anchor="__RefHeading___Toc2281_4124369062">
            <w:r>
              <w:rPr>
                <w:rStyle w:val="Vnculodendice"/>
              </w:rPr>
              <w:t xml:space="preserve"> </w:t>
            </w:r>
            <w:r>
              <w:rPr>
                <w:rStyle w:val="Vnculodendice"/>
              </w:rPr>
              <w:t>2. Transações e Componentes Técnicos</w:t>
              <w:tab/>
              <w:t>5</w:t>
            </w:r>
          </w:hyperlink>
        </w:p>
        <w:p>
          <w:pPr>
            <w:pStyle w:val="TOC2"/>
            <w:tabs>
              <w:tab w:val="clear" w:pos="9122"/>
              <w:tab w:val="right" w:pos="9404" w:leader="dot"/>
            </w:tabs>
            <w:spacing w:lineRule="auto" w:line="211"/>
            <w:rPr/>
          </w:pPr>
          <w:hyperlink w:anchor="__RefHeading___Toc2283_4124369062">
            <w:r>
              <w:rPr>
                <w:rStyle w:val="Vnculodendice"/>
              </w:rPr>
              <w:t>2.1 Transações SAP Utilizadas</w:t>
              <w:tab/>
              <w:t>5</w:t>
            </w:r>
          </w:hyperlink>
        </w:p>
        <w:p>
          <w:pPr>
            <w:pStyle w:val="TOC2"/>
            <w:tabs>
              <w:tab w:val="clear" w:pos="9122"/>
              <w:tab w:val="right" w:pos="9404" w:leader="dot"/>
            </w:tabs>
            <w:spacing w:lineRule="auto" w:line="211"/>
            <w:rPr/>
          </w:pPr>
          <w:hyperlink w:anchor="__RefHeading___Toc2285_4124369062">
            <w:r>
              <w:rPr>
                <w:rStyle w:val="Vnculodendice"/>
              </w:rPr>
              <w:t>2.2 Tipos de Remessa</w:t>
              <w:tab/>
              <w:t>5</w:t>
            </w:r>
          </w:hyperlink>
        </w:p>
        <w:p>
          <w:pPr>
            <w:pStyle w:val="TOC2"/>
            <w:tabs>
              <w:tab w:val="clear" w:pos="9122"/>
              <w:tab w:val="right" w:pos="9404" w:leader="dot"/>
            </w:tabs>
            <w:spacing w:lineRule="auto" w:line="211"/>
            <w:rPr/>
          </w:pPr>
          <w:hyperlink w:anchor="__RefHeading___Toc2287_4124369062">
            <w:r>
              <w:rPr>
                <w:rStyle w:val="Vnculodendice"/>
              </w:rPr>
              <w:t>2.3 Tipo de Nota CS</w:t>
              <w:tab/>
              <w:t>5</w:t>
            </w:r>
          </w:hyperlink>
        </w:p>
        <w:p>
          <w:pPr>
            <w:pStyle w:val="TOC2"/>
            <w:tabs>
              <w:tab w:val="clear" w:pos="9122"/>
              <w:tab w:val="right" w:pos="9404" w:leader="dot"/>
            </w:tabs>
            <w:spacing w:lineRule="auto" w:line="211"/>
            <w:rPr/>
          </w:pPr>
          <w:hyperlink w:anchor="__RefHeading___Toc2289_4124369062">
            <w:r>
              <w:rPr>
                <w:rStyle w:val="Vnculodendice"/>
              </w:rPr>
              <w:t xml:space="preserve"> </w:t>
            </w:r>
            <w:r>
              <w:rPr>
                <w:rStyle w:val="Vnculodendice"/>
              </w:rPr>
              <w:t>2.4 Documentos Gerados no Processo</w:t>
              <w:tab/>
              <w:t>5</w:t>
            </w:r>
          </w:hyperlink>
        </w:p>
        <w:p>
          <w:pPr>
            <w:pStyle w:val="TOC1"/>
            <w:tabs>
              <w:tab w:val="clear" w:pos="9405"/>
              <w:tab w:val="right" w:pos="9404" w:leader="dot"/>
            </w:tabs>
            <w:spacing w:lineRule="auto" w:line="211"/>
            <w:rPr/>
          </w:pPr>
          <w:hyperlink w:anchor="__RefHeading___Toc2291_4124369062">
            <w:r>
              <w:rPr>
                <w:rStyle w:val="Vnculodendice"/>
              </w:rPr>
              <w:t xml:space="preserve"> </w:t>
            </w:r>
            <w:r>
              <w:rPr>
                <w:rStyle w:val="Vnculodendice"/>
              </w:rPr>
              <w:t>3. Fluxo Operacional do Processo</w:t>
              <w:tab/>
              <w:t>6</w:t>
            </w:r>
          </w:hyperlink>
        </w:p>
        <w:p>
          <w:pPr>
            <w:pStyle w:val="TOC2"/>
            <w:tabs>
              <w:tab w:val="clear" w:pos="9122"/>
              <w:tab w:val="right" w:pos="9404" w:leader="dot"/>
            </w:tabs>
            <w:spacing w:lineRule="auto" w:line="211"/>
            <w:rPr/>
          </w:pPr>
          <w:hyperlink w:anchor="__RefHeading___Toc2293_4124369062">
            <w:r>
              <w:rPr>
                <w:rStyle w:val="Vnculodendice"/>
              </w:rPr>
              <w:t>3.1 Etapa 1 – Solicitação de Garantia</w:t>
              <w:tab/>
              <w:t>6</w:t>
            </w:r>
          </w:hyperlink>
        </w:p>
        <w:p>
          <w:pPr>
            <w:pStyle w:val="TOC3"/>
            <w:tabs>
              <w:tab w:val="clear" w:pos="8838"/>
              <w:tab w:val="right" w:pos="9404" w:leader="dot"/>
            </w:tabs>
            <w:spacing w:lineRule="auto" w:line="211"/>
            <w:rPr/>
          </w:pPr>
          <w:hyperlink w:anchor="__RefHeading___Toc2295_4124369062">
            <w:r>
              <w:rPr>
                <w:rStyle w:val="Vnculodendice"/>
              </w:rPr>
              <w:t>Entradas</w:t>
              <w:tab/>
              <w:t>6</w:t>
            </w:r>
          </w:hyperlink>
        </w:p>
        <w:p>
          <w:pPr>
            <w:pStyle w:val="TOC3"/>
            <w:tabs>
              <w:tab w:val="clear" w:pos="8838"/>
              <w:tab w:val="right" w:pos="9404" w:leader="dot"/>
            </w:tabs>
            <w:spacing w:lineRule="auto" w:line="211"/>
            <w:rPr/>
          </w:pPr>
          <w:hyperlink w:anchor="__RefHeading___Toc2297_4124369062">
            <w:r>
              <w:rPr>
                <w:rStyle w:val="Vnculodendice"/>
              </w:rPr>
              <w:t>Saídas</w:t>
              <w:tab/>
              <w:t>6</w:t>
            </w:r>
          </w:hyperlink>
        </w:p>
        <w:p>
          <w:pPr>
            <w:pStyle w:val="TOC2"/>
            <w:tabs>
              <w:tab w:val="clear" w:pos="9122"/>
              <w:tab w:val="right" w:pos="9404" w:leader="dot"/>
            </w:tabs>
            <w:spacing w:lineRule="auto" w:line="211"/>
            <w:rPr/>
          </w:pPr>
          <w:hyperlink w:anchor="__RefHeading___Toc2299_4124369062">
            <w:r>
              <w:rPr>
                <w:rStyle w:val="Vnculodendice"/>
              </w:rPr>
              <w:t>3.2 Etapa 2 – Criação da Notificação de Serviço (IW51)</w:t>
              <w:tab/>
              <w:t>6</w:t>
            </w:r>
          </w:hyperlink>
        </w:p>
        <w:p>
          <w:pPr>
            <w:pStyle w:val="TOC3"/>
            <w:tabs>
              <w:tab w:val="clear" w:pos="8838"/>
              <w:tab w:val="right" w:pos="9404" w:leader="dot"/>
            </w:tabs>
            <w:spacing w:lineRule="auto" w:line="211"/>
            <w:rPr/>
          </w:pPr>
          <w:hyperlink w:anchor="__RefHeading___Toc2301_4124369062">
            <w:r>
              <w:rPr>
                <w:rStyle w:val="Vnculodendice"/>
              </w:rPr>
              <w:t>Objetivos da Notificação</w:t>
              <w:tab/>
              <w:t>6</w:t>
            </w:r>
          </w:hyperlink>
        </w:p>
        <w:p>
          <w:pPr>
            <w:pStyle w:val="TOC3"/>
            <w:tabs>
              <w:tab w:val="clear" w:pos="8838"/>
              <w:tab w:val="right" w:pos="9404" w:leader="dot"/>
            </w:tabs>
            <w:spacing w:lineRule="auto" w:line="211"/>
            <w:rPr/>
          </w:pPr>
          <w:hyperlink w:anchor="__RefHeading___Toc2303_4124369062">
            <w:r>
              <w:rPr>
                <w:rStyle w:val="Vnculodendice"/>
              </w:rPr>
              <w:t>Informações Registradas</w:t>
              <w:tab/>
              <w:t>6</w:t>
            </w:r>
          </w:hyperlink>
        </w:p>
        <w:p>
          <w:pPr>
            <w:pStyle w:val="TOC2"/>
            <w:tabs>
              <w:tab w:val="clear" w:pos="9122"/>
              <w:tab w:val="right" w:pos="9404" w:leader="dot"/>
            </w:tabs>
            <w:spacing w:lineRule="auto" w:line="211"/>
            <w:rPr/>
          </w:pPr>
          <w:hyperlink w:anchor="__RefHeading___Toc2305_4124369062">
            <w:r>
              <w:rPr>
                <w:rStyle w:val="Vnculodendice"/>
              </w:rPr>
              <w:t>3.3 Etapa 3 – Criação da Remessa ZGAR (VA01)</w:t>
              <w:tab/>
              <w:t>7</w:t>
            </w:r>
          </w:hyperlink>
        </w:p>
        <w:p>
          <w:pPr>
            <w:pStyle w:val="TOC3"/>
            <w:tabs>
              <w:tab w:val="clear" w:pos="8838"/>
              <w:tab w:val="right" w:pos="9404" w:leader="dot"/>
            </w:tabs>
            <w:spacing w:lineRule="auto" w:line="211"/>
            <w:rPr/>
          </w:pPr>
          <w:hyperlink w:anchor="__RefHeading___Toc2307_4124369062">
            <w:r>
              <w:rPr>
                <w:rStyle w:val="Vnculodendice"/>
              </w:rPr>
              <w:t>Finalidade</w:t>
              <w:tab/>
              <w:t>7</w:t>
            </w:r>
          </w:hyperlink>
        </w:p>
        <w:p>
          <w:pPr>
            <w:pStyle w:val="TOC3"/>
            <w:tabs>
              <w:tab w:val="clear" w:pos="8838"/>
              <w:tab w:val="right" w:pos="9404" w:leader="dot"/>
            </w:tabs>
            <w:spacing w:lineRule="auto" w:line="211"/>
            <w:rPr/>
          </w:pPr>
          <w:hyperlink w:anchor="__RefHeading___Toc2309_4124369062">
            <w:r>
              <w:rPr>
                <w:rStyle w:val="Vnculodendice"/>
              </w:rPr>
              <w:t>Características</w:t>
              <w:tab/>
              <w:t>7</w:t>
            </w:r>
          </w:hyperlink>
        </w:p>
        <w:p>
          <w:pPr>
            <w:pStyle w:val="TOC2"/>
            <w:tabs>
              <w:tab w:val="clear" w:pos="9122"/>
              <w:tab w:val="right" w:pos="9404" w:leader="dot"/>
            </w:tabs>
            <w:spacing w:lineRule="auto" w:line="211"/>
            <w:rPr/>
          </w:pPr>
          <w:hyperlink w:anchor="__RefHeading___Toc2311_4124369062">
            <w:r>
              <w:rPr>
                <w:rStyle w:val="Vnculodendice"/>
              </w:rPr>
              <w:t>3.4 Etapa 4 – Execução Logística da Remessa (VL01N / VL02N)</w:t>
              <w:tab/>
              <w:t>7</w:t>
            </w:r>
          </w:hyperlink>
        </w:p>
        <w:p>
          <w:pPr>
            <w:pStyle w:val="TOC3"/>
            <w:tabs>
              <w:tab w:val="clear" w:pos="8838"/>
              <w:tab w:val="right" w:pos="9404" w:leader="dot"/>
            </w:tabs>
            <w:spacing w:lineRule="auto" w:line="211"/>
            <w:rPr/>
          </w:pPr>
          <w:hyperlink w:anchor="__RefHeading___Toc2313_4124369062">
            <w:r>
              <w:rPr>
                <w:rStyle w:val="Vnculodendice"/>
              </w:rPr>
              <w:t>Processos Executados</w:t>
              <w:tab/>
              <w:t>7</w:t>
            </w:r>
          </w:hyperlink>
        </w:p>
        <w:p>
          <w:pPr>
            <w:pStyle w:val="TOC3"/>
            <w:tabs>
              <w:tab w:val="clear" w:pos="8838"/>
              <w:tab w:val="right" w:pos="9404" w:leader="dot"/>
            </w:tabs>
            <w:spacing w:lineRule="auto" w:line="211"/>
            <w:rPr/>
          </w:pPr>
          <w:hyperlink w:anchor="__RefHeading___Toc2315_4124369062">
            <w:r>
              <w:rPr>
                <w:rStyle w:val="Vnculodendice"/>
              </w:rPr>
              <w:t>Movimento de Estoque</w:t>
              <w:tab/>
              <w:t>7</w:t>
            </w:r>
          </w:hyperlink>
        </w:p>
        <w:p>
          <w:pPr>
            <w:pStyle w:val="TOC2"/>
            <w:tabs>
              <w:tab w:val="clear" w:pos="9122"/>
              <w:tab w:val="right" w:pos="9404" w:leader="dot"/>
            </w:tabs>
            <w:spacing w:lineRule="auto" w:line="211"/>
            <w:rPr/>
          </w:pPr>
          <w:hyperlink w:anchor="__RefHeading___Toc2317_4124369062">
            <w:r>
              <w:rPr>
                <w:rStyle w:val="Vnculodendice"/>
              </w:rPr>
              <w:t>3.5 Etapa 5 – Faturamento e Documento Fiscal (VF01)</w:t>
              <w:tab/>
              <w:t>7</w:t>
            </w:r>
          </w:hyperlink>
        </w:p>
        <w:p>
          <w:pPr>
            <w:pStyle w:val="TOC3"/>
            <w:tabs>
              <w:tab w:val="clear" w:pos="8838"/>
              <w:tab w:val="right" w:pos="9404" w:leader="dot"/>
            </w:tabs>
            <w:spacing w:lineRule="auto" w:line="211"/>
            <w:rPr/>
          </w:pPr>
          <w:hyperlink w:anchor="__RefHeading___Toc2319_4124369062">
            <w:r>
              <w:rPr>
                <w:rStyle w:val="Vnculodendice"/>
              </w:rPr>
              <w:t>Resultados</w:t>
              <w:tab/>
              <w:t>7</w:t>
            </w:r>
          </w:hyperlink>
        </w:p>
        <w:p>
          <w:pPr>
            <w:pStyle w:val="TOC1"/>
            <w:tabs>
              <w:tab w:val="clear" w:pos="9405"/>
              <w:tab w:val="right" w:pos="9404" w:leader="dot"/>
            </w:tabs>
            <w:spacing w:lineRule="auto" w:line="211"/>
            <w:rPr/>
          </w:pPr>
          <w:hyperlink w:anchor="__RefHeading___Toc2321_4124369062">
            <w:r>
              <w:rPr>
                <w:rStyle w:val="Vnculodendice"/>
              </w:rPr>
              <w:t xml:space="preserve"> </w:t>
            </w:r>
            <w:r>
              <w:rPr>
                <w:rStyle w:val="Vnculodendice"/>
              </w:rPr>
              <w:t>4. Fluxo de Entrada para Análise</w:t>
              <w:tab/>
              <w:t>8</w:t>
            </w:r>
          </w:hyperlink>
        </w:p>
        <w:p>
          <w:pPr>
            <w:pStyle w:val="TOC2"/>
            <w:tabs>
              <w:tab w:val="clear" w:pos="9122"/>
              <w:tab w:val="right" w:pos="9404" w:leader="dot"/>
            </w:tabs>
            <w:spacing w:lineRule="auto" w:line="211"/>
            <w:rPr/>
          </w:pPr>
          <w:hyperlink w:anchor="__RefHeading___Toc2323_4124369062">
            <w:r>
              <w:rPr>
                <w:rStyle w:val="Vnculodendice"/>
              </w:rPr>
              <w:t>4.1 Retorno do Material Defeituoso</w:t>
              <w:tab/>
              <w:t>8</w:t>
            </w:r>
          </w:hyperlink>
        </w:p>
        <w:p>
          <w:pPr>
            <w:pStyle w:val="TOC3"/>
            <w:tabs>
              <w:tab w:val="clear" w:pos="8838"/>
              <w:tab w:val="right" w:pos="9404" w:leader="dot"/>
            </w:tabs>
            <w:spacing w:lineRule="auto" w:line="211"/>
            <w:rPr/>
          </w:pPr>
          <w:hyperlink w:anchor="__RefHeading___Toc2325_4124369062">
            <w:r>
              <w:rPr>
                <w:rStyle w:val="Vnculodendice"/>
              </w:rPr>
              <w:t>Regras Importantes</w:t>
              <w:tab/>
              <w:t>8</w:t>
            </w:r>
          </w:hyperlink>
        </w:p>
        <w:p>
          <w:pPr>
            <w:pStyle w:val="TOC2"/>
            <w:tabs>
              <w:tab w:val="clear" w:pos="9122"/>
              <w:tab w:val="right" w:pos="9404" w:leader="dot"/>
            </w:tabs>
            <w:spacing w:lineRule="auto" w:line="211"/>
            <w:rPr/>
          </w:pPr>
          <w:hyperlink w:anchor="__RefHeading___Toc2327_4124369062">
            <w:r>
              <w:rPr>
                <w:rStyle w:val="Vnculodendice"/>
              </w:rPr>
              <w:t>4.2 Criação da Entrada ZEAG (VA01)</w:t>
              <w:tab/>
              <w:t>8</w:t>
            </w:r>
          </w:hyperlink>
        </w:p>
        <w:p>
          <w:pPr>
            <w:pStyle w:val="TOC3"/>
            <w:tabs>
              <w:tab w:val="clear" w:pos="8838"/>
              <w:tab w:val="right" w:pos="9404" w:leader="dot"/>
            </w:tabs>
            <w:spacing w:lineRule="auto" w:line="211"/>
            <w:rPr/>
          </w:pPr>
          <w:hyperlink w:anchor="__RefHeading___Toc2329_4124369062">
            <w:r>
              <w:rPr>
                <w:rStyle w:val="Vnculodendice"/>
              </w:rPr>
              <w:t>Finalidade</w:t>
              <w:tab/>
              <w:t>8</w:t>
            </w:r>
          </w:hyperlink>
        </w:p>
        <w:p>
          <w:pPr>
            <w:pStyle w:val="TOC2"/>
            <w:tabs>
              <w:tab w:val="clear" w:pos="9122"/>
              <w:tab w:val="right" w:pos="9404" w:leader="dot"/>
            </w:tabs>
            <w:spacing w:lineRule="auto" w:line="211"/>
            <w:rPr/>
          </w:pPr>
          <w:hyperlink w:anchor="__RefHeading___Toc2331_4124369062">
            <w:r>
              <w:rPr>
                <w:rStyle w:val="Vnculodendice"/>
              </w:rPr>
              <w:t>4.3 Execução Logística da Entrada (VL01N / VL02N)</w:t>
              <w:tab/>
              <w:t>8</w:t>
            </w:r>
          </w:hyperlink>
        </w:p>
        <w:p>
          <w:pPr>
            <w:pStyle w:val="TOC3"/>
            <w:tabs>
              <w:tab w:val="clear" w:pos="8838"/>
              <w:tab w:val="right" w:pos="9404" w:leader="dot"/>
            </w:tabs>
            <w:spacing w:lineRule="auto" w:line="211"/>
            <w:rPr/>
          </w:pPr>
          <w:hyperlink w:anchor="__RefHeading___Toc2333_4124369062">
            <w:r>
              <w:rPr>
                <w:rStyle w:val="Vnculodendice"/>
              </w:rPr>
              <w:t>Processos Executados</w:t>
              <w:tab/>
              <w:t>8</w:t>
            </w:r>
          </w:hyperlink>
        </w:p>
        <w:p>
          <w:pPr>
            <w:pStyle w:val="TOC3"/>
            <w:tabs>
              <w:tab w:val="clear" w:pos="8838"/>
              <w:tab w:val="right" w:pos="9404" w:leader="dot"/>
            </w:tabs>
            <w:spacing w:lineRule="auto" w:line="211"/>
            <w:rPr/>
          </w:pPr>
          <w:hyperlink w:anchor="__RefHeading___Toc2335_4124369062">
            <w:r>
              <w:rPr>
                <w:rStyle w:val="Vnculodendice"/>
              </w:rPr>
              <w:t>Movimento de Estoque</w:t>
              <w:tab/>
              <w:t>8</w:t>
            </w:r>
          </w:hyperlink>
        </w:p>
        <w:p>
          <w:pPr>
            <w:pStyle w:val="TOC3"/>
            <w:tabs>
              <w:tab w:val="clear" w:pos="8838"/>
              <w:tab w:val="right" w:pos="9404" w:leader="dot"/>
            </w:tabs>
            <w:spacing w:lineRule="auto" w:line="211"/>
            <w:rPr/>
          </w:pPr>
          <w:hyperlink w:anchor="__RefHeading___Toc2337_4124369062">
            <w:r>
              <w:rPr>
                <w:rStyle w:val="Vnculodendice"/>
              </w:rPr>
              <w:t xml:space="preserve"> </w:t>
            </w:r>
            <w:r>
              <w:rPr>
                <w:rStyle w:val="Vnculodendice"/>
              </w:rPr>
              <w:t>Depósito Utilizado</w:t>
              <w:tab/>
              <w:t>8</w:t>
            </w:r>
          </w:hyperlink>
        </w:p>
        <w:p>
          <w:pPr>
            <w:pStyle w:val="TOC2"/>
            <w:tabs>
              <w:tab w:val="clear" w:pos="9122"/>
              <w:tab w:val="right" w:pos="9404" w:leader="dot"/>
            </w:tabs>
            <w:spacing w:lineRule="auto" w:line="211"/>
            <w:rPr/>
          </w:pPr>
          <w:hyperlink w:anchor="__RefHeading___Toc2339_4124369062">
            <w:r>
              <w:rPr>
                <w:rStyle w:val="Vnculodendice"/>
              </w:rPr>
              <w:t xml:space="preserve"> </w:t>
            </w:r>
            <w:r>
              <w:rPr>
                <w:rStyle w:val="Vnculodendice"/>
              </w:rPr>
              <w:t>4.4 Análise Técnica</w:t>
              <w:tab/>
              <w:t>9</w:t>
            </w:r>
          </w:hyperlink>
        </w:p>
        <w:p>
          <w:pPr>
            <w:pStyle w:val="TOC3"/>
            <w:tabs>
              <w:tab w:val="clear" w:pos="8838"/>
              <w:tab w:val="right" w:pos="9404" w:leader="dot"/>
            </w:tabs>
            <w:spacing w:lineRule="auto" w:line="211"/>
            <w:rPr/>
          </w:pPr>
          <w:hyperlink w:anchor="__RefHeading___Toc2341_4124369062">
            <w:r>
              <w:rPr>
                <w:rStyle w:val="Vnculodendice"/>
              </w:rPr>
              <w:t>Objetivos</w:t>
              <w:tab/>
              <w:t>9</w:t>
            </w:r>
          </w:hyperlink>
        </w:p>
        <w:p>
          <w:pPr>
            <w:pStyle w:val="TOC3"/>
            <w:tabs>
              <w:tab w:val="clear" w:pos="8838"/>
              <w:tab w:val="right" w:pos="9404" w:leader="dot"/>
            </w:tabs>
            <w:spacing w:lineRule="auto" w:line="211"/>
            <w:rPr/>
          </w:pPr>
          <w:hyperlink w:anchor="__RefHeading___Toc2343_4124369062">
            <w:r>
              <w:rPr>
                <w:rStyle w:val="Vnculodendice"/>
              </w:rPr>
              <w:t>Resultado da Análise</w:t>
              <w:tab/>
              <w:t>9</w:t>
            </w:r>
          </w:hyperlink>
        </w:p>
        <w:p>
          <w:pPr>
            <w:pStyle w:val="TOC1"/>
            <w:tabs>
              <w:tab w:val="clear" w:pos="9405"/>
              <w:tab w:val="right" w:pos="9404" w:leader="dot"/>
            </w:tabs>
            <w:spacing w:lineRule="auto" w:line="211"/>
            <w:rPr/>
          </w:pPr>
          <w:hyperlink w:anchor="__RefHeading___Toc2345_4124369062">
            <w:r>
              <w:rPr>
                <w:rStyle w:val="Vnculodendice"/>
              </w:rPr>
              <w:t>5. Fluxos de Decisão da Garantia</w:t>
              <w:tab/>
              <w:t>9</w:t>
            </w:r>
          </w:hyperlink>
        </w:p>
        <w:p>
          <w:pPr>
            <w:pStyle w:val="TOC2"/>
            <w:tabs>
              <w:tab w:val="clear" w:pos="9122"/>
              <w:tab w:val="right" w:pos="9404" w:leader="dot"/>
            </w:tabs>
            <w:spacing w:lineRule="auto" w:line="211"/>
            <w:rPr/>
          </w:pPr>
          <w:hyperlink w:anchor="__RefHeading___Toc2347_4124369062">
            <w:r>
              <w:rPr>
                <w:rStyle w:val="Vnculodendice"/>
              </w:rPr>
              <w:t>5.1 Garantia Concedida</w:t>
              <w:tab/>
              <w:t>9</w:t>
            </w:r>
          </w:hyperlink>
        </w:p>
        <w:p>
          <w:pPr>
            <w:pStyle w:val="TOC3"/>
            <w:tabs>
              <w:tab w:val="clear" w:pos="8838"/>
              <w:tab w:val="right" w:pos="9404" w:leader="dot"/>
            </w:tabs>
            <w:spacing w:lineRule="auto" w:line="211"/>
            <w:rPr/>
          </w:pPr>
          <w:hyperlink w:anchor="__RefHeading___Toc2349_4124369062">
            <w:r>
              <w:rPr>
                <w:rStyle w:val="Vnculodendice"/>
              </w:rPr>
              <w:t>Processos Utilizados</w:t>
              <w:tab/>
              <w:t>9</w:t>
            </w:r>
          </w:hyperlink>
        </w:p>
        <w:p>
          <w:pPr>
            <w:pStyle w:val="TOC3"/>
            <w:tabs>
              <w:tab w:val="clear" w:pos="8838"/>
              <w:tab w:val="right" w:pos="9404" w:leader="dot"/>
            </w:tabs>
            <w:spacing w:lineRule="auto" w:line="211"/>
            <w:rPr/>
          </w:pPr>
          <w:hyperlink w:anchor="__RefHeading___Toc2351_4124369062">
            <w:r>
              <w:rPr>
                <w:rStyle w:val="Vnculodendice"/>
              </w:rPr>
              <w:t xml:space="preserve"> </w:t>
            </w:r>
            <w:r>
              <w:rPr>
                <w:rStyle w:val="Vnculodendice"/>
              </w:rPr>
              <w:t>Características</w:t>
              <w:tab/>
              <w:t>9</w:t>
            </w:r>
          </w:hyperlink>
        </w:p>
        <w:p>
          <w:pPr>
            <w:pStyle w:val="TOC2"/>
            <w:tabs>
              <w:tab w:val="clear" w:pos="9122"/>
              <w:tab w:val="right" w:pos="9404" w:leader="dot"/>
            </w:tabs>
            <w:spacing w:lineRule="auto" w:line="211"/>
            <w:rPr/>
          </w:pPr>
          <w:hyperlink w:anchor="__RefHeading___Toc2353_4124369062">
            <w:r>
              <w:rPr>
                <w:rStyle w:val="Vnculodendice"/>
              </w:rPr>
              <w:t>5.2 Garantia Negada</w:t>
              <w:tab/>
              <w:t>10</w:t>
            </w:r>
          </w:hyperlink>
        </w:p>
        <w:p>
          <w:pPr>
            <w:pStyle w:val="TOC3"/>
            <w:tabs>
              <w:tab w:val="clear" w:pos="8838"/>
              <w:tab w:val="right" w:pos="9404" w:leader="dot"/>
            </w:tabs>
            <w:spacing w:lineRule="auto" w:line="211"/>
            <w:rPr/>
          </w:pPr>
          <w:hyperlink w:anchor="__RefHeading___Toc2355_4124369062">
            <w:r>
              <w:rPr>
                <w:rStyle w:val="Vnculodendice"/>
              </w:rPr>
              <w:t>Processos Executados</w:t>
              <w:tab/>
              <w:t>10</w:t>
            </w:r>
          </w:hyperlink>
        </w:p>
        <w:p>
          <w:pPr>
            <w:pStyle w:val="TOC3"/>
            <w:tabs>
              <w:tab w:val="clear" w:pos="8838"/>
              <w:tab w:val="right" w:pos="9404" w:leader="dot"/>
            </w:tabs>
            <w:spacing w:lineRule="auto" w:line="211"/>
            <w:rPr/>
          </w:pPr>
          <w:hyperlink w:anchor="__RefHeading___Toc2357_4124369062">
            <w:r>
              <w:rPr>
                <w:rStyle w:val="Vnculodendice"/>
              </w:rPr>
              <w:t>Fluxos Relacionados</w:t>
              <w:tab/>
              <w:t>10</w:t>
            </w:r>
          </w:hyperlink>
        </w:p>
        <w:p>
          <w:pPr>
            <w:pStyle w:val="TOC1"/>
            <w:tabs>
              <w:tab w:val="clear" w:pos="9405"/>
              <w:tab w:val="right" w:pos="9404" w:leader="dot"/>
            </w:tabs>
            <w:spacing w:lineRule="auto" w:line="211"/>
            <w:rPr/>
          </w:pPr>
          <w:hyperlink w:anchor="__RefHeading___Toc2359_4124369062">
            <w:r>
              <w:rPr>
                <w:rStyle w:val="Vnculodendice"/>
              </w:rPr>
              <w:t>6. Regras de Negócio e Validações</w:t>
              <w:tab/>
              <w:t>10</w:t>
            </w:r>
          </w:hyperlink>
        </w:p>
        <w:p>
          <w:pPr>
            <w:pStyle w:val="TOC2"/>
            <w:tabs>
              <w:tab w:val="clear" w:pos="9122"/>
              <w:tab w:val="right" w:pos="9404" w:leader="dot"/>
            </w:tabs>
            <w:spacing w:lineRule="auto" w:line="211"/>
            <w:rPr/>
          </w:pPr>
          <w:hyperlink w:anchor="__RefHeading___Toc2361_4124369062">
            <w:r>
              <w:rPr>
                <w:rStyle w:val="Vnculodendice"/>
              </w:rPr>
              <w:t>6.1 Regras Gerais</w:t>
              <w:tab/>
              <w:t>10</w:t>
            </w:r>
          </w:hyperlink>
        </w:p>
        <w:p>
          <w:pPr>
            <w:pStyle w:val="TOC2"/>
            <w:tabs>
              <w:tab w:val="clear" w:pos="9122"/>
              <w:tab w:val="right" w:pos="9404" w:leader="dot"/>
            </w:tabs>
            <w:spacing w:lineRule="auto" w:line="211"/>
            <w:rPr/>
          </w:pPr>
          <w:hyperlink w:anchor="__RefHeading___Toc2363_4124369062">
            <w:r>
              <w:rPr>
                <w:rStyle w:val="Vnculodendice"/>
              </w:rPr>
              <w:t>6.2 Controle Fiscal e Logístico</w:t>
              <w:tab/>
              <w:t>10</w:t>
            </w:r>
          </w:hyperlink>
        </w:p>
        <w:p>
          <w:pPr>
            <w:pStyle w:val="TOC3"/>
            <w:tabs>
              <w:tab w:val="clear" w:pos="8838"/>
              <w:tab w:val="right" w:pos="9404" w:leader="dot"/>
            </w:tabs>
            <w:spacing w:lineRule="auto" w:line="211"/>
            <w:rPr/>
          </w:pPr>
          <w:hyperlink w:anchor="__RefHeading___Toc2365_4124369062">
            <w:r>
              <w:rPr>
                <w:rStyle w:val="Vnculodendice"/>
              </w:rPr>
              <w:t>Tipos de Remessa, CFOP e Movimentos</w:t>
              <w:tab/>
              <w:t>10</w:t>
            </w:r>
          </w:hyperlink>
        </w:p>
        <w:p>
          <w:pPr>
            <w:pStyle w:val="TOC1"/>
            <w:tabs>
              <w:tab w:val="clear" w:pos="9405"/>
              <w:tab w:val="right" w:pos="9404" w:leader="dot"/>
            </w:tabs>
            <w:spacing w:lineRule="auto" w:line="211"/>
            <w:rPr/>
          </w:pPr>
          <w:hyperlink w:anchor="__RefHeading___Toc2367_4124369062">
            <w:r>
              <w:rPr>
                <w:rStyle w:val="Vnculodendice"/>
              </w:rPr>
              <w:t>6.3 Integrações SAP</w:t>
              <w:tab/>
              <w:t>11</w:t>
            </w:r>
          </w:hyperlink>
        </w:p>
        <w:p>
          <w:pPr>
            <w:pStyle w:val="TOC1"/>
            <w:tabs>
              <w:tab w:val="clear" w:pos="9405"/>
              <w:tab w:val="right" w:pos="9404" w:leader="dot"/>
            </w:tabs>
            <w:spacing w:lineRule="auto" w:line="211"/>
            <w:rPr/>
          </w:pPr>
          <w:hyperlink w:anchor="__RefHeading___Toc2369_4124369062">
            <w:r>
              <w:rPr>
                <w:rStyle w:val="Vnculodendice"/>
              </w:rPr>
              <w:t>7. Raias Funcionais do Processo</w:t>
              <w:tab/>
              <w:t>11</w:t>
            </w:r>
          </w:hyperlink>
        </w:p>
        <w:p>
          <w:pPr>
            <w:pStyle w:val="TOC1"/>
            <w:tabs>
              <w:tab w:val="clear" w:pos="9405"/>
              <w:tab w:val="right" w:pos="9404" w:leader="dot"/>
            </w:tabs>
            <w:spacing w:lineRule="auto" w:line="211"/>
            <w:rPr/>
          </w:pPr>
          <w:hyperlink w:anchor="__RefHeading___Toc2371_4124369062">
            <w:r>
              <w:rPr>
                <w:rStyle w:val="Vnculodendice"/>
              </w:rPr>
              <w:t xml:space="preserve"> </w:t>
            </w:r>
            <w:r>
              <w:rPr>
                <w:rStyle w:val="Vnculodendice"/>
              </w:rPr>
              <w:t>8. Fluxo Macro do Processo</w:t>
              <w:tab/>
              <w:t>11</w:t>
            </w:r>
          </w:hyperlink>
        </w:p>
        <w:p>
          <w:pPr>
            <w:pStyle w:val="TOC2"/>
            <w:tabs>
              <w:tab w:val="clear" w:pos="9122"/>
              <w:tab w:val="right" w:pos="9404" w:leader="dot"/>
            </w:tabs>
            <w:spacing w:lineRule="auto" w:line="211"/>
            <w:rPr/>
          </w:pPr>
          <w:hyperlink w:anchor="__RefHeading___Toc2373_4124369062">
            <w:r>
              <w:rPr>
                <w:rStyle w:val="Vnculodendice"/>
              </w:rPr>
              <w:t>Sequência Operacional</w:t>
              <w:tab/>
              <w:t>11</w:t>
            </w:r>
          </w:hyperlink>
        </w:p>
        <w:p>
          <w:pPr>
            <w:pStyle w:val="TOC1"/>
            <w:tabs>
              <w:tab w:val="clear" w:pos="9405"/>
              <w:tab w:val="right" w:pos="9404" w:leader="dot"/>
            </w:tabs>
            <w:spacing w:lineRule="auto" w:line="211"/>
            <w:rPr/>
          </w:pPr>
          <w:hyperlink w:anchor="__RefHeading___Toc2375_4124369062">
            <w:r>
              <w:rPr>
                <w:rStyle w:val="Vnculodendice"/>
              </w:rPr>
              <w:t>9. Anexos</w:t>
              <w:tab/>
              <w:t>12</w:t>
            </w:r>
          </w:hyperlink>
        </w:p>
        <w:p>
          <w:pPr>
            <w:pStyle w:val="TOC2"/>
            <w:tabs>
              <w:tab w:val="clear" w:pos="9122"/>
              <w:tab w:val="right" w:pos="9404" w:leader="dot"/>
            </w:tabs>
            <w:spacing w:lineRule="auto" w:line="211"/>
            <w:rPr/>
          </w:pPr>
          <w:hyperlink w:anchor="__RefHeading___Toc2377_4124369062">
            <w:r>
              <w:rPr>
                <w:rStyle w:val="Vnculodendice"/>
              </w:rPr>
              <w:t>9.1 Diagramas BPMN</w:t>
              <w:tab/>
              <w:t>12</w:t>
            </w:r>
          </w:hyperlink>
          <w:r>
            <w:rPr>
              <w:rStyle w:val="Vnculodendice"/>
            </w:rPr>
            <w:fldChar w:fldCharType="end"/>
          </w:r>
        </w:p>
      </w:sdtContent>
    </w:sdt>
    <w:p>
      <w:pPr>
        <w:pStyle w:val="Heading1"/>
        <w:rPr>
          <w:rFonts w:ascii="Calibri" w:hAnsi="Calibri"/>
        </w:rPr>
      </w:pPr>
      <w:bookmarkStart w:id="1" w:name="__RefHeading___Toc2273_4124369062"/>
      <w:bookmarkEnd w:id="1"/>
      <w:r>
        <w:rPr/>
        <w:t>1. Visão Geral</w:t>
      </w:r>
    </w:p>
    <w:p>
      <w:pPr>
        <w:pStyle w:val="Heading2"/>
        <w:rPr>
          <w:rFonts w:ascii="Calibri" w:hAnsi="Calibri"/>
        </w:rPr>
      </w:pPr>
      <w:bookmarkStart w:id="2" w:name="__RefHeading___Toc2275_4124369062"/>
      <w:bookmarkEnd w:id="2"/>
      <w:r>
        <w:rPr/>
        <w:t>1.1 Objetivo do Processo</w:t>
        <w:br/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O processo de garantia tem o objetivo de controlar todas as etapas relacionadas ao envio, recebimento, análise, devolução e regularização fiscal de equipamentos e peças em garantia.</w:t>
        <w:br/>
        <w:br/>
        <w:t>Esse fluxo envolve atividades operacionais, logísticas, fiscais e contábeis, garantindo o acompanhamento completo das movimentações físicas e dos documentos dentro do sistema SAP ERP.</w:t>
        <w:br/>
      </w:r>
      <w:bookmarkStart w:id="3" w:name="objetivo-do-processo"/>
      <w:bookmarkEnd w:id="3"/>
    </w:p>
    <w:p>
      <w:pPr>
        <w:pStyle w:val="BodyTex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Heading2"/>
        <w:rPr>
          <w:rFonts w:ascii="Calibri" w:hAnsi="Calibri"/>
        </w:rPr>
      </w:pPr>
      <w:bookmarkStart w:id="4" w:name="__RefHeading___Toc2277_4124369062"/>
      <w:bookmarkEnd w:id="4"/>
      <w:r>
        <w:rPr/>
        <w:t>1.2 Contexto Operacional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O processo é utilizado para:</w:t>
      </w:r>
    </w:p>
    <w:p>
      <w:pPr>
        <w:pStyle w:val="Compact"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Envio antecipado de peças/equipamentos para clientes e revendas;</w:t>
      </w:r>
    </w:p>
    <w:p>
      <w:pPr>
        <w:pStyle w:val="Compact"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Recebimento de materiais com defeito para análise técnica;</w:t>
      </w:r>
    </w:p>
    <w:p>
      <w:pPr>
        <w:pStyle w:val="Compact"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Controle de devoluções de garantia;</w:t>
      </w:r>
    </w:p>
    <w:p>
      <w:pPr>
        <w:pStyle w:val="Compact"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Tratamento fiscal de remessas e retornos;</w:t>
      </w:r>
    </w:p>
    <w:p>
      <w:pPr>
        <w:pStyle w:val="Compact"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Movimentações de estoque de consignação;</w:t>
      </w:r>
    </w:p>
    <w:p>
      <w:pPr>
        <w:pStyle w:val="Compact"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Geração de documentos fiscais e contábeis;</w:t>
      </w:r>
    </w:p>
    <w:p>
      <w:pPr>
        <w:pStyle w:val="Compact"/>
        <w:numPr>
          <w:ilvl w:val="0"/>
          <w:numId w:val="1"/>
        </w:numPr>
        <w:rPr>
          <w:rFonts w:ascii="Calibri" w:hAnsi="Calibri"/>
        </w:rPr>
      </w:pPr>
      <w:bookmarkStart w:id="5" w:name="contexto-operacional"/>
      <w:r>
        <w:rPr>
          <w:rFonts w:ascii="Calibri" w:hAnsi="Calibri"/>
          <w:sz w:val="22"/>
          <w:szCs w:val="22"/>
        </w:rPr>
        <w:t>Controle de cobrança em casos de garantia negada.</w:t>
      </w:r>
      <w:bookmarkEnd w:id="5"/>
    </w:p>
    <w:p>
      <w:pPr>
        <w:pStyle w:val="Compac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Heading2"/>
        <w:rPr>
          <w:rFonts w:ascii="Calibri" w:hAnsi="Calibri"/>
        </w:rPr>
      </w:pPr>
      <w:bookmarkStart w:id="6" w:name="__RefHeading___Toc2279_4124369062"/>
      <w:bookmarkEnd w:id="6"/>
      <w:r>
        <w:rPr/>
        <w:t>1.3 Áreas Envolvidas</w:t>
      </w:r>
    </w:p>
    <w:tbl>
      <w:tblPr>
        <w:tblStyle w:val="Table"/>
        <w:tblW w:w="5000" w:type="pct"/>
        <w:jc w:val="left"/>
        <w:tblInd w:w="57" w:type="dxa"/>
        <w:tblLayout w:type="fixed"/>
        <w:tblCellMar>
          <w:top w:w="57" w:type="dxa"/>
          <w:left w:w="57" w:type="dxa"/>
          <w:bottom w:w="28" w:type="dxa"/>
          <w:right w:w="0" w:type="dxa"/>
        </w:tblCellMar>
        <w:tblLook w:firstRow="1" w:noVBand="0" w:lastRow="0" w:firstColumn="0" w:lastColumn="0" w:noHBand="0" w:val="0020"/>
      </w:tblPr>
      <w:tblGrid>
        <w:gridCol w:w="2607"/>
        <w:gridCol w:w="6797"/>
      </w:tblGrid>
      <w:tr>
        <w:trPr>
          <w:tblHeader w:val="true"/>
        </w:trPr>
        <w:tc>
          <w:tcPr>
            <w:tcW w:w="26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b/>
                <w:bCs/>
                <w:kern w:val="0"/>
                <w:sz w:val="20"/>
                <w:szCs w:val="20"/>
                <w:lang w:val="en-US" w:eastAsia="en-US" w:bidi="ar-SA"/>
              </w:rPr>
              <w:t>Área</w:t>
            </w:r>
          </w:p>
        </w:tc>
        <w:tc>
          <w:tcPr>
            <w:tcW w:w="6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b/>
                <w:bCs/>
                <w:kern w:val="0"/>
                <w:sz w:val="20"/>
                <w:szCs w:val="20"/>
                <w:lang w:val="en-US" w:eastAsia="en-US" w:bidi="ar-SA"/>
              </w:rPr>
              <w:t>Responsabilidade Principal</w:t>
            </w:r>
          </w:p>
        </w:tc>
      </w:tr>
      <w:tr>
        <w:trPr/>
        <w:tc>
          <w:tcPr>
            <w:tcW w:w="260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Cliente / Revenda</w:t>
            </w:r>
          </w:p>
        </w:tc>
        <w:tc>
          <w:tcPr>
            <w:tcW w:w="67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Solicitação de garantia e devolução física dos materiais</w:t>
            </w:r>
          </w:p>
        </w:tc>
      </w:tr>
      <w:tr>
        <w:trPr/>
        <w:tc>
          <w:tcPr>
            <w:tcW w:w="260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CS (Customer Service)</w:t>
            </w:r>
          </w:p>
        </w:tc>
        <w:tc>
          <w:tcPr>
            <w:tcW w:w="67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Registro da notificação, análise técnica e decisão da garantia</w:t>
            </w:r>
          </w:p>
        </w:tc>
      </w:tr>
      <w:tr>
        <w:trPr/>
        <w:tc>
          <w:tcPr>
            <w:tcW w:w="260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SD (Sales and Distribution)</w:t>
            </w:r>
          </w:p>
        </w:tc>
        <w:tc>
          <w:tcPr>
            <w:tcW w:w="67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Criação de pedidos, remessas e devoluções</w:t>
            </w:r>
          </w:p>
        </w:tc>
      </w:tr>
      <w:tr>
        <w:trPr/>
        <w:tc>
          <w:tcPr>
            <w:tcW w:w="260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MM / Estoque</w:t>
            </w:r>
          </w:p>
        </w:tc>
        <w:tc>
          <w:tcPr>
            <w:tcW w:w="67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Execução logística e movimentações de estoque</w:t>
            </w:r>
          </w:p>
        </w:tc>
      </w:tr>
      <w:tr>
        <w:trPr/>
        <w:tc>
          <w:tcPr>
            <w:tcW w:w="260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Fiscal / Contábil</w:t>
            </w:r>
          </w:p>
        </w:tc>
        <w:tc>
          <w:tcPr>
            <w:tcW w:w="67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Emissão de NF-e, faturamento e controle fiscal</w:t>
            </w:r>
          </w:p>
        </w:tc>
      </w:tr>
    </w:tbl>
    <w:p>
      <w:pPr>
        <w:pStyle w:val="Normal"/>
        <w:rPr>
          <w:rFonts w:ascii="Calibri" w:hAnsi="Calibri"/>
        </w:rPr>
      </w:pPr>
      <w:bookmarkStart w:id="7" w:name="áreas-envolvida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" name="Forma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1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7"/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Heading1"/>
        <w:rPr>
          <w:rFonts w:ascii="Calibri" w:hAnsi="Calibri"/>
        </w:rPr>
      </w:pPr>
      <w:r>
        <w:rPr/>
        <w:t>2. Transações e Componentes Técnicos</w:t>
      </w:r>
    </w:p>
    <w:p>
      <w:pPr>
        <w:pStyle w:val="Heading2"/>
        <w:rPr>
          <w:rFonts w:ascii="Calibri" w:hAnsi="Calibri"/>
        </w:rPr>
      </w:pPr>
      <w:bookmarkStart w:id="8" w:name="__RefHeading___Toc2283_4124369062"/>
      <w:bookmarkEnd w:id="8"/>
      <w:r>
        <w:rPr/>
        <w:t>2.1 Transações SAP Utilizadas</w:t>
      </w:r>
    </w:p>
    <w:tbl>
      <w:tblPr>
        <w:tblStyle w:val="Table"/>
        <w:tblW w:w="5277" w:type="dxa"/>
        <w:jc w:val="left"/>
        <w:tblInd w:w="57" w:type="dxa"/>
        <w:tblLayout w:type="fixed"/>
        <w:tblCellMar>
          <w:top w:w="57" w:type="dxa"/>
          <w:left w:w="57" w:type="dxa"/>
          <w:bottom w:w="28" w:type="dxa"/>
          <w:right w:w="0" w:type="dxa"/>
        </w:tblCellMar>
        <w:tblLook w:firstRow="1" w:noVBand="0" w:lastRow="0" w:firstColumn="0" w:lastColumn="0" w:noHBand="0" w:val="0020"/>
      </w:tblPr>
      <w:tblGrid>
        <w:gridCol w:w="1704"/>
        <w:gridCol w:w="3572"/>
      </w:tblGrid>
      <w:tr>
        <w:trPr>
          <w:tblHeader w:val="true"/>
        </w:trPr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b/>
                <w:bCs/>
                <w:kern w:val="0"/>
                <w:sz w:val="20"/>
                <w:szCs w:val="20"/>
                <w:lang w:val="en-US" w:eastAsia="en-US" w:bidi="ar-SA"/>
              </w:rPr>
              <w:t>Transação</w:t>
            </w:r>
          </w:p>
        </w:tc>
        <w:tc>
          <w:tcPr>
            <w:tcW w:w="3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b/>
                <w:bCs/>
                <w:kern w:val="0"/>
                <w:sz w:val="20"/>
                <w:szCs w:val="20"/>
                <w:lang w:val="en-US" w:eastAsia="en-US" w:bidi="ar-SA"/>
              </w:rPr>
              <w:t>Descrição</w:t>
            </w:r>
          </w:p>
        </w:tc>
      </w:tr>
      <w:tr>
        <w:trPr/>
        <w:tc>
          <w:tcPr>
            <w:tcW w:w="17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IW51</w:t>
            </w:r>
          </w:p>
        </w:tc>
        <w:tc>
          <w:tcPr>
            <w:tcW w:w="357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Criação de Notificação de Serviço</w:t>
            </w:r>
          </w:p>
        </w:tc>
      </w:tr>
      <w:tr>
        <w:trPr/>
        <w:tc>
          <w:tcPr>
            <w:tcW w:w="17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IW52</w:t>
            </w:r>
          </w:p>
        </w:tc>
        <w:tc>
          <w:tcPr>
            <w:tcW w:w="357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Atualização e encerramento da Nota CS</w:t>
            </w:r>
          </w:p>
        </w:tc>
      </w:tr>
      <w:tr>
        <w:trPr/>
        <w:tc>
          <w:tcPr>
            <w:tcW w:w="17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VA01</w:t>
            </w:r>
          </w:p>
        </w:tc>
        <w:tc>
          <w:tcPr>
            <w:tcW w:w="357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Criação de pedido/remessa</w:t>
            </w:r>
          </w:p>
        </w:tc>
      </w:tr>
      <w:tr>
        <w:trPr/>
        <w:tc>
          <w:tcPr>
            <w:tcW w:w="17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VL01N / VL02N</w:t>
            </w:r>
          </w:p>
        </w:tc>
        <w:tc>
          <w:tcPr>
            <w:tcW w:w="357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Execução logística da remessa</w:t>
            </w:r>
          </w:p>
        </w:tc>
      </w:tr>
      <w:tr>
        <w:trPr/>
        <w:tc>
          <w:tcPr>
            <w:tcW w:w="17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VF01</w:t>
            </w:r>
          </w:p>
        </w:tc>
        <w:tc>
          <w:tcPr>
            <w:tcW w:w="357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Faturamento</w:t>
            </w:r>
          </w:p>
        </w:tc>
      </w:tr>
    </w:tbl>
    <w:p>
      <w:pPr>
        <w:pStyle w:val="Normal"/>
        <w:rPr>
          <w:rFonts w:ascii="Calibri" w:hAnsi="Calibri"/>
        </w:rPr>
      </w:pPr>
      <w:bookmarkStart w:id="9" w:name="transações-sap-utilizada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" name="Forma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2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9"/>
    </w:p>
    <w:p>
      <w:pPr>
        <w:pStyle w:val="Heading2"/>
        <w:rPr>
          <w:rFonts w:ascii="Calibri" w:hAnsi="Calibri"/>
        </w:rPr>
      </w:pPr>
      <w:bookmarkStart w:id="10" w:name="__RefHeading___Toc2285_4124369062"/>
      <w:bookmarkEnd w:id="10"/>
      <w:r>
        <w:rPr/>
        <w:t>2.2 Tipos de Remessa</w:t>
      </w:r>
    </w:p>
    <w:tbl>
      <w:tblPr>
        <w:tblStyle w:val="Table"/>
        <w:tblW w:w="5000" w:type="pct"/>
        <w:jc w:val="left"/>
        <w:tblInd w:w="57" w:type="dxa"/>
        <w:tblLayout w:type="fixed"/>
        <w:tblCellMar>
          <w:top w:w="57" w:type="dxa"/>
          <w:left w:w="57" w:type="dxa"/>
          <w:bottom w:w="28" w:type="dxa"/>
          <w:right w:w="0" w:type="dxa"/>
        </w:tblCellMar>
        <w:tblLook w:firstRow="1" w:noVBand="0" w:lastRow="0" w:firstColumn="0" w:lastColumn="0" w:noHBand="0" w:val="0020"/>
      </w:tblPr>
      <w:tblGrid>
        <w:gridCol w:w="1473"/>
        <w:gridCol w:w="3232"/>
        <w:gridCol w:w="4700"/>
      </w:tblGrid>
      <w:tr>
        <w:trPr>
          <w:tblHeader w:val="true"/>
        </w:trPr>
        <w:tc>
          <w:tcPr>
            <w:tcW w:w="1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b/>
                <w:bCs/>
                <w:kern w:val="0"/>
                <w:sz w:val="20"/>
                <w:szCs w:val="20"/>
                <w:lang w:val="en-US" w:eastAsia="en-US" w:bidi="ar-SA"/>
              </w:rPr>
              <w:t>Código</w:t>
            </w:r>
          </w:p>
        </w:tc>
        <w:tc>
          <w:tcPr>
            <w:tcW w:w="3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b/>
                <w:bCs/>
                <w:kern w:val="0"/>
                <w:sz w:val="20"/>
                <w:szCs w:val="20"/>
                <w:lang w:val="en-US" w:eastAsia="en-US" w:bidi="ar-SA"/>
              </w:rPr>
              <w:t>Descrição</w:t>
            </w:r>
          </w:p>
        </w:tc>
        <w:tc>
          <w:tcPr>
            <w:tcW w:w="4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b/>
                <w:bCs/>
                <w:kern w:val="0"/>
                <w:sz w:val="20"/>
                <w:szCs w:val="20"/>
                <w:lang w:val="en-US" w:eastAsia="en-US" w:bidi="ar-SA"/>
              </w:rPr>
              <w:t>Finalidade</w:t>
            </w:r>
          </w:p>
        </w:tc>
      </w:tr>
      <w:tr>
        <w:trPr/>
        <w:tc>
          <w:tcPr>
            <w:tcW w:w="147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ZGAR</w:t>
            </w:r>
          </w:p>
        </w:tc>
        <w:tc>
          <w:tcPr>
            <w:tcW w:w="32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Remessa de Garantia</w:t>
            </w:r>
          </w:p>
        </w:tc>
        <w:tc>
          <w:tcPr>
            <w:tcW w:w="47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Envio antecipado de peças/equipamentos</w:t>
            </w:r>
          </w:p>
        </w:tc>
      </w:tr>
      <w:tr>
        <w:trPr/>
        <w:tc>
          <w:tcPr>
            <w:tcW w:w="147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ZEAG</w:t>
            </w:r>
          </w:p>
        </w:tc>
        <w:tc>
          <w:tcPr>
            <w:tcW w:w="32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Entrada Análise de Garantia</w:t>
            </w:r>
          </w:p>
        </w:tc>
        <w:tc>
          <w:tcPr>
            <w:tcW w:w="47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Recebimento de material para análise</w:t>
            </w:r>
          </w:p>
        </w:tc>
      </w:tr>
      <w:tr>
        <w:trPr/>
        <w:tc>
          <w:tcPr>
            <w:tcW w:w="147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ZDGA</w:t>
            </w:r>
          </w:p>
        </w:tc>
        <w:tc>
          <w:tcPr>
            <w:tcW w:w="32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Remessa Devolução Garantia</w:t>
            </w:r>
          </w:p>
        </w:tc>
        <w:tc>
          <w:tcPr>
            <w:tcW w:w="47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 xml:space="preserve">Acerto fiscal sem movimentação física / </w:t>
            </w: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Entrada</w:t>
            </w:r>
          </w:p>
        </w:tc>
      </w:tr>
      <w:tr>
        <w:trPr/>
        <w:tc>
          <w:tcPr>
            <w:tcW w:w="147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ZDAG</w:t>
            </w:r>
          </w:p>
        </w:tc>
        <w:tc>
          <w:tcPr>
            <w:tcW w:w="32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Devolução Análise Garantia</w:t>
            </w:r>
          </w:p>
        </w:tc>
        <w:tc>
          <w:tcPr>
            <w:tcW w:w="47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Devolução de material / retorno</w:t>
            </w:r>
          </w:p>
        </w:tc>
      </w:tr>
    </w:tbl>
    <w:p>
      <w:pPr>
        <w:pStyle w:val="Normal"/>
        <w:rPr>
          <w:rFonts w:ascii="Calibri" w:hAnsi="Calibri"/>
        </w:rPr>
      </w:pPr>
      <w:bookmarkStart w:id="11" w:name="tipos-de-remessa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" name="Forma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3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Start w:id="12" w:name="tipo-de-nota-csCOPY_IS_MOVE"/>
      <w:bookmarkEnd w:id="11"/>
      <w:bookmarkEnd w:id="12"/>
    </w:p>
    <w:p>
      <w:pPr>
        <w:pStyle w:val="Heading2"/>
        <w:rPr>
          <w:rFonts w:ascii="Calibri" w:hAnsi="Calibri"/>
        </w:rPr>
      </w:pPr>
      <w:bookmarkStart w:id="13" w:name="__RefHeading___Toc2287_4124369062"/>
      <w:bookmarkEnd w:id="13"/>
      <w:r>
        <w:rPr/>
        <w:t>2.3 Tipo de Nota CS</w:t>
      </w:r>
    </w:p>
    <w:tbl>
      <w:tblPr>
        <w:tblW w:w="526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040"/>
        <w:gridCol w:w="3224"/>
      </w:tblGrid>
      <w:tr>
        <w:trPr/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b/>
                <w:bCs/>
                <w:kern w:val="0"/>
                <w:sz w:val="20"/>
                <w:szCs w:val="20"/>
                <w:lang w:val="en-US" w:eastAsia="en-US" w:bidi="ar-SA"/>
              </w:rPr>
              <w:t>Código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b/>
                <w:bCs/>
                <w:kern w:val="0"/>
                <w:sz w:val="20"/>
                <w:szCs w:val="20"/>
                <w:lang w:val="en-US" w:eastAsia="en-US" w:bidi="ar-SA"/>
              </w:rPr>
              <w:t>Descrição</w:t>
            </w:r>
          </w:p>
        </w:tc>
      </w:tr>
      <w:tr>
        <w:trPr/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Y1</w:t>
            </w:r>
          </w:p>
        </w:tc>
        <w:tc>
          <w:tcPr>
            <w:tcW w:w="32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Garantia</w:t>
            </w:r>
          </w:p>
        </w:tc>
      </w:tr>
    </w:tbl>
    <w:p>
      <w:pPr>
        <w:pStyle w:val="Heading2"/>
        <w:rPr>
          <w:rFonts w:ascii="Calibri" w:hAnsi="Calibri"/>
        </w:rPr>
      </w:pPr>
      <w:bookmarkStart w:id="14" w:name="__RefHeading___Toc2289_4124369062"/>
      <w:bookmarkEnd w:id="14"/>
      <w:r>
        <w:rPr/>
        <w:br/>
        <w:t>2.4 Documentos Gerados no Processo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Durante o fluxo de garantia são gerados os seguintes documentos:</w:t>
      </w:r>
    </w:p>
    <w:p>
      <w:pPr>
        <w:pStyle w:val="Compact"/>
        <w:numPr>
          <w:ilvl w:val="0"/>
          <w:numId w:val="82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Notificação de Serviço (CS);</w:t>
      </w:r>
    </w:p>
    <w:p>
      <w:pPr>
        <w:pStyle w:val="Compact"/>
        <w:numPr>
          <w:ilvl w:val="0"/>
          <w:numId w:val="83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Pedido de Remessa SD;</w:t>
      </w:r>
    </w:p>
    <w:p>
      <w:pPr>
        <w:pStyle w:val="Compact"/>
        <w:numPr>
          <w:ilvl w:val="0"/>
          <w:numId w:val="84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Documento de Remessa Logística;</w:t>
      </w:r>
    </w:p>
    <w:p>
      <w:pPr>
        <w:pStyle w:val="Compact"/>
        <w:numPr>
          <w:ilvl w:val="0"/>
          <w:numId w:val="85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Documento Fiscal / NF-e;</w:t>
      </w:r>
    </w:p>
    <w:p>
      <w:pPr>
        <w:pStyle w:val="Compact"/>
        <w:numPr>
          <w:ilvl w:val="0"/>
          <w:numId w:val="86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Movimentações de estoque;</w:t>
      </w:r>
    </w:p>
    <w:p>
      <w:pPr>
        <w:pStyle w:val="Compact"/>
        <w:numPr>
          <w:ilvl w:val="0"/>
          <w:numId w:val="87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Documentos contábeis;</w:t>
      </w:r>
    </w:p>
    <w:p>
      <w:pPr>
        <w:pStyle w:val="Compact"/>
        <w:numPr>
          <w:ilvl w:val="0"/>
          <w:numId w:val="88"/>
        </w:numPr>
        <w:rPr>
          <w:rFonts w:ascii="Calibri" w:hAnsi="Calibri"/>
        </w:rPr>
      </w:pPr>
      <w:bookmarkStart w:id="15" w:name="documentos-gerados-no-processo"/>
      <w:bookmarkStart w:id="16" w:name="X44f5ea5f16f1ab8ae87759f9ee1ed9681371f07"/>
      <w:r>
        <w:rPr>
          <w:rFonts w:ascii="Calibri" w:hAnsi="Calibri"/>
          <w:sz w:val="22"/>
          <w:szCs w:val="22"/>
        </w:rPr>
        <w:t>Faturamento de cobrança em casos de garantia negada.</w:t>
      </w:r>
      <w:bookmarkEnd w:id="15"/>
      <w:bookmarkEnd w:id="16"/>
    </w:p>
    <w:p>
      <w:pPr>
        <w:pStyle w:val="Heading1"/>
        <w:rPr>
          <w:rFonts w:ascii="Calibri" w:hAnsi="Calibri"/>
        </w:rPr>
      </w:pPr>
      <w:bookmarkStart w:id="17" w:name="__RefHeading___Toc2291_4124369062"/>
      <w:bookmarkEnd w:id="17"/>
      <w:r>
        <w:rPr>
          <w:sz w:val="22"/>
          <w:szCs w:val="22"/>
        </w:rPr>
        <w:br/>
      </w:r>
      <w:r>
        <w:rPr/>
        <w:t>3. Fluxo Operacional do Processo</w:t>
      </w:r>
    </w:p>
    <w:p>
      <w:pPr>
        <w:pStyle w:val="Heading2"/>
        <w:rPr>
          <w:rFonts w:ascii="Calibri" w:hAnsi="Calibri"/>
        </w:rPr>
      </w:pPr>
      <w:bookmarkStart w:id="18" w:name="__RefHeading___Toc2293_4124369062"/>
      <w:bookmarkEnd w:id="18"/>
      <w:r>
        <w:rPr/>
        <w:t>3.1 Etapa 1 – Solicitação de Garantia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O processo inicia quando o cliente ou revenda solicita atendimento em garantia devido a defeito identificado em equipamento ou peça.</w:t>
        <w:br/>
      </w:r>
    </w:p>
    <w:p>
      <w:pPr>
        <w:pStyle w:val="Heading3"/>
        <w:rPr>
          <w:rFonts w:ascii="Calibri" w:hAnsi="Calibri"/>
        </w:rPr>
      </w:pPr>
      <w:bookmarkStart w:id="19" w:name="__RefHeading___Toc2295_4124369062"/>
      <w:bookmarkEnd w:id="19"/>
      <w:r>
        <w:rPr/>
        <w:t>Entradas</w:t>
      </w:r>
    </w:p>
    <w:p>
      <w:pPr>
        <w:pStyle w:val="Compact"/>
        <w:numPr>
          <w:ilvl w:val="0"/>
          <w:numId w:val="89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Solicitação do cliente;</w:t>
      </w:r>
    </w:p>
    <w:p>
      <w:pPr>
        <w:pStyle w:val="Compact"/>
        <w:numPr>
          <w:ilvl w:val="0"/>
          <w:numId w:val="90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Informações do equipamento;</w:t>
      </w:r>
    </w:p>
    <w:p>
      <w:pPr>
        <w:pStyle w:val="Compact"/>
        <w:numPr>
          <w:ilvl w:val="0"/>
          <w:numId w:val="91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Nota fiscal de compra;</w:t>
      </w:r>
    </w:p>
    <w:p>
      <w:pPr>
        <w:pStyle w:val="Compact"/>
        <w:numPr>
          <w:ilvl w:val="0"/>
          <w:numId w:val="92"/>
        </w:numPr>
        <w:rPr>
          <w:rFonts w:ascii="Calibri" w:hAnsi="Calibri"/>
        </w:rPr>
      </w:pPr>
      <w:bookmarkStart w:id="20" w:name="entradas"/>
      <w:r>
        <w:rPr>
          <w:rFonts w:ascii="Calibri" w:hAnsi="Calibri"/>
          <w:sz w:val="22"/>
          <w:szCs w:val="22"/>
        </w:rPr>
        <w:t>Descrição do defeito.</w:t>
      </w:r>
      <w:bookmarkEnd w:id="20"/>
      <w:r>
        <w:rPr>
          <w:rFonts w:ascii="Calibri" w:hAnsi="Calibri"/>
          <w:sz w:val="22"/>
          <w:szCs w:val="22"/>
        </w:rPr>
        <w:br/>
      </w:r>
    </w:p>
    <w:p>
      <w:pPr>
        <w:pStyle w:val="Heading3"/>
        <w:rPr>
          <w:rFonts w:ascii="Calibri" w:hAnsi="Calibri"/>
        </w:rPr>
      </w:pPr>
      <w:bookmarkStart w:id="21" w:name="__RefHeading___Toc2297_4124369062"/>
      <w:bookmarkEnd w:id="21"/>
      <w:r>
        <w:rPr/>
        <w:t>Saídas</w:t>
      </w:r>
    </w:p>
    <w:p>
      <w:pPr>
        <w:pStyle w:val="Compact"/>
        <w:numPr>
          <w:ilvl w:val="0"/>
          <w:numId w:val="93"/>
        </w:numPr>
        <w:rPr>
          <w:rFonts w:ascii="Calibri" w:hAnsi="Calibri"/>
        </w:rPr>
      </w:pPr>
      <w:bookmarkStart w:id="22" w:name="saídas"/>
      <w:bookmarkStart w:id="23" w:name="etapa-1-solicitação-de-garantia"/>
      <w:r>
        <w:rPr>
          <w:rFonts w:ascii="Calibri" w:hAnsi="Calibri"/>
          <w:sz w:val="22"/>
          <w:szCs w:val="22"/>
        </w:rPr>
        <w:t>Abertura do atendimento de garantia.</w:t>
      </w:r>
      <w:bookmarkEnd w:id="22"/>
      <w:bookmarkEnd w:id="23"/>
    </w:p>
    <w:p>
      <w:pPr>
        <w:pStyle w:val="Compac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Heading2"/>
        <w:rPr>
          <w:rFonts w:ascii="Calibri" w:hAnsi="Calibri"/>
        </w:rPr>
      </w:pPr>
      <w:bookmarkStart w:id="24" w:name="__RefHeading___Toc2299_4124369062"/>
      <w:bookmarkEnd w:id="24"/>
      <w:r>
        <w:rPr/>
        <w:t>3.2 Etapa 2 – Criação da Notificação de Serviço (IW51)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A área de CS registra a solicitação através da transação IW51.</w:t>
      </w:r>
    </w:p>
    <w:p>
      <w:pPr>
        <w:pStyle w:val="Heading3"/>
        <w:rPr>
          <w:rFonts w:ascii="Calibri" w:hAnsi="Calibri"/>
        </w:rPr>
      </w:pPr>
      <w:bookmarkStart w:id="25" w:name="__RefHeading___Toc2301_4124369062"/>
      <w:bookmarkEnd w:id="25"/>
      <w:r>
        <w:rPr/>
        <w:t>Objetivos da Notificação</w:t>
      </w:r>
    </w:p>
    <w:p>
      <w:pPr>
        <w:pStyle w:val="Compact"/>
        <w:numPr>
          <w:ilvl w:val="0"/>
          <w:numId w:val="94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Registrar o problema informado;</w:t>
      </w:r>
    </w:p>
    <w:p>
      <w:pPr>
        <w:pStyle w:val="Compact"/>
        <w:numPr>
          <w:ilvl w:val="0"/>
          <w:numId w:val="95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Formalizar o processo de garantia;</w:t>
      </w:r>
    </w:p>
    <w:p>
      <w:pPr>
        <w:pStyle w:val="Compact"/>
        <w:numPr>
          <w:ilvl w:val="0"/>
          <w:numId w:val="96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Controlar o fluxo técnico;</w:t>
      </w:r>
    </w:p>
    <w:p>
      <w:pPr>
        <w:pStyle w:val="Compact"/>
        <w:numPr>
          <w:ilvl w:val="0"/>
          <w:numId w:val="97"/>
        </w:numPr>
        <w:rPr>
          <w:rFonts w:ascii="Calibri" w:hAnsi="Calibri"/>
        </w:rPr>
      </w:pPr>
      <w:bookmarkStart w:id="26" w:name="objetivos-da-notificação"/>
      <w:r>
        <w:rPr>
          <w:rFonts w:ascii="Calibri" w:hAnsi="Calibri"/>
          <w:sz w:val="22"/>
          <w:szCs w:val="22"/>
        </w:rPr>
        <w:t>Permitir rastreabilidade do atendimento.</w:t>
      </w:r>
      <w:bookmarkEnd w:id="26"/>
    </w:p>
    <w:p>
      <w:pPr>
        <w:pStyle w:val="Heading3"/>
        <w:rPr>
          <w:rFonts w:ascii="Calibri" w:hAnsi="Calibri"/>
        </w:rPr>
      </w:pPr>
      <w:bookmarkStart w:id="27" w:name="__RefHeading___Toc2303_4124369062"/>
      <w:bookmarkEnd w:id="27"/>
      <w:r>
        <w:rPr/>
        <w:t>Informações Registradas</w:t>
      </w:r>
    </w:p>
    <w:p>
      <w:pPr>
        <w:pStyle w:val="Compact"/>
        <w:numPr>
          <w:ilvl w:val="0"/>
          <w:numId w:val="98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Cliente;</w:t>
      </w:r>
    </w:p>
    <w:p>
      <w:pPr>
        <w:pStyle w:val="Compact"/>
        <w:numPr>
          <w:ilvl w:val="0"/>
          <w:numId w:val="99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Equipamento;</w:t>
      </w:r>
    </w:p>
    <w:p>
      <w:pPr>
        <w:pStyle w:val="Compact"/>
        <w:numPr>
          <w:ilvl w:val="0"/>
          <w:numId w:val="100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Número de Série;</w:t>
      </w:r>
    </w:p>
    <w:p>
      <w:pPr>
        <w:pStyle w:val="Compact"/>
        <w:numPr>
          <w:ilvl w:val="0"/>
          <w:numId w:val="101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Descrição do defeito;</w:t>
      </w:r>
    </w:p>
    <w:p>
      <w:pPr>
        <w:pStyle w:val="Compact"/>
        <w:numPr>
          <w:ilvl w:val="0"/>
          <w:numId w:val="102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Referência da nota fiscal;</w:t>
      </w:r>
    </w:p>
    <w:p>
      <w:pPr>
        <w:pStyle w:val="Compact"/>
        <w:numPr>
          <w:ilvl w:val="0"/>
          <w:numId w:val="103"/>
        </w:numPr>
        <w:rPr>
          <w:rFonts w:ascii="Calibri" w:hAnsi="Calibri"/>
        </w:rPr>
      </w:pPr>
      <w:bookmarkStart w:id="28" w:name="informações-registradas"/>
      <w:bookmarkStart w:id="29" w:name="Xde1b2084bf9c0920e8c04de6f291b272e9a5717"/>
      <w:r>
        <w:rPr>
          <w:rFonts w:ascii="Calibri" w:hAnsi="Calibri"/>
          <w:sz w:val="22"/>
          <w:szCs w:val="22"/>
        </w:rPr>
        <w:t>Dados do atendimento.</w:t>
      </w:r>
      <w:bookmarkEnd w:id="28"/>
      <w:bookmarkEnd w:id="29"/>
    </w:p>
    <w:p>
      <w:pPr>
        <w:pStyle w:val="FirstParagrap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FirstParagrap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FirstParagrap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FirstParagrap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Heading2"/>
        <w:rPr>
          <w:rFonts w:ascii="Calibri" w:hAnsi="Calibri"/>
        </w:rPr>
      </w:pPr>
      <w:bookmarkStart w:id="30" w:name="__RefHeading___Toc2305_4124369062"/>
      <w:bookmarkEnd w:id="30"/>
      <w:r>
        <w:rPr/>
        <w:t>3.3 Etapa 3 – Criação da Remessa ZGAR (VA01)</w:t>
      </w:r>
    </w:p>
    <w:p>
      <w:pPr>
        <w:pStyle w:val="FirstParagrap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Após validação inicial, a área SD cria a remessa ZGAR utilizando a transação VA01.</w:t>
      </w:r>
    </w:p>
    <w:p>
      <w:pPr>
        <w:pStyle w:val="Heading3"/>
        <w:rPr>
          <w:rFonts w:ascii="Calibri" w:hAnsi="Calibri"/>
        </w:rPr>
      </w:pPr>
      <w:bookmarkStart w:id="31" w:name="__RefHeading___Toc2307_4124369062"/>
      <w:bookmarkEnd w:id="31"/>
      <w:r>
        <w:rPr/>
        <w:t>Finalidade</w:t>
      </w:r>
    </w:p>
    <w:p>
      <w:pPr>
        <w:pStyle w:val="Compact"/>
        <w:numPr>
          <w:ilvl w:val="0"/>
          <w:numId w:val="104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Enviar peças ou equipamentos antecipadamente;</w:t>
      </w:r>
    </w:p>
    <w:p>
      <w:pPr>
        <w:pStyle w:val="Compact"/>
        <w:numPr>
          <w:ilvl w:val="0"/>
          <w:numId w:val="105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Atender revendas em caráter emergencial;</w:t>
      </w:r>
    </w:p>
    <w:p>
      <w:pPr>
        <w:pStyle w:val="Compact"/>
        <w:numPr>
          <w:ilvl w:val="0"/>
          <w:numId w:val="106"/>
        </w:numPr>
        <w:rPr>
          <w:rFonts w:ascii="Calibri" w:hAnsi="Calibri"/>
        </w:rPr>
      </w:pPr>
      <w:bookmarkStart w:id="32" w:name="finalidade"/>
      <w:r>
        <w:rPr>
          <w:rFonts w:ascii="Calibri" w:hAnsi="Calibri"/>
          <w:sz w:val="22"/>
          <w:szCs w:val="22"/>
        </w:rPr>
        <w:t>Transferir material para estoque consignado.</w:t>
      </w:r>
      <w:bookmarkEnd w:id="32"/>
      <w:r>
        <w:rPr>
          <w:rFonts w:ascii="Calibri" w:hAnsi="Calibri"/>
          <w:sz w:val="22"/>
          <w:szCs w:val="22"/>
        </w:rPr>
        <w:br/>
      </w:r>
    </w:p>
    <w:p>
      <w:pPr>
        <w:pStyle w:val="Heading3"/>
        <w:rPr>
          <w:rFonts w:ascii="Calibri" w:hAnsi="Calibri"/>
        </w:rPr>
      </w:pPr>
      <w:bookmarkStart w:id="33" w:name="__RefHeading___Toc2309_4124369062"/>
      <w:bookmarkEnd w:id="33"/>
      <w:r>
        <w:rPr/>
        <w:t>Características</w:t>
      </w:r>
    </w:p>
    <w:p>
      <w:pPr>
        <w:pStyle w:val="Compact"/>
        <w:numPr>
          <w:ilvl w:val="0"/>
          <w:numId w:val="107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 xml:space="preserve">Processo referente à garantia, mas não vinculado </w:t>
      </w:r>
      <w:r>
        <w:rPr>
          <w:rFonts w:ascii="Calibri" w:hAnsi="Calibri"/>
          <w:sz w:val="22"/>
          <w:szCs w:val="22"/>
        </w:rPr>
        <w:t xml:space="preserve">a </w:t>
      </w:r>
      <w:r>
        <w:rPr>
          <w:rFonts w:ascii="Calibri" w:hAnsi="Calibri"/>
          <w:sz w:val="22"/>
          <w:szCs w:val="22"/>
        </w:rPr>
        <w:t>Nota CS;</w:t>
      </w:r>
    </w:p>
    <w:p>
      <w:pPr>
        <w:pStyle w:val="Compact"/>
        <w:numPr>
          <w:ilvl w:val="0"/>
          <w:numId w:val="108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Geração de documento fiscal;</w:t>
      </w:r>
    </w:p>
    <w:p>
      <w:pPr>
        <w:pStyle w:val="Compact"/>
        <w:numPr>
          <w:ilvl w:val="0"/>
          <w:numId w:val="109"/>
        </w:numPr>
        <w:rPr>
          <w:rFonts w:ascii="Calibri" w:hAnsi="Calibri"/>
        </w:rPr>
      </w:pPr>
      <w:bookmarkStart w:id="34" w:name="características"/>
      <w:bookmarkStart w:id="35" w:name="etapa-3-criação-da-remessa-zgar-va01"/>
      <w:r>
        <w:rPr>
          <w:rFonts w:ascii="Calibri" w:hAnsi="Calibri"/>
          <w:sz w:val="22"/>
          <w:szCs w:val="22"/>
        </w:rPr>
        <w:t>Controle no estoque interno de remessa em consignação.</w:t>
      </w:r>
      <w:bookmarkEnd w:id="34"/>
      <w:bookmarkEnd w:id="35"/>
    </w:p>
    <w:p>
      <w:pPr>
        <w:pStyle w:val="Compact"/>
        <w:numPr>
          <w:ilvl w:val="0"/>
          <w:numId w:val="0"/>
        </w:numPr>
        <w:ind w:hanging="0" w:left="72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Heading2"/>
        <w:rPr>
          <w:rFonts w:ascii="Calibri" w:hAnsi="Calibri"/>
        </w:rPr>
      </w:pPr>
      <w:bookmarkStart w:id="36" w:name="__RefHeading___Toc2311_4124369062"/>
      <w:bookmarkEnd w:id="36"/>
      <w:r>
        <w:rPr/>
        <w:t>3.4 Etapa 4 – Execução Logística da Remessa (VL01N / VL02N)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A área de estoque/logística executa a remessa física do material.</w:t>
      </w:r>
    </w:p>
    <w:p>
      <w:pPr>
        <w:pStyle w:val="Heading3"/>
        <w:rPr>
          <w:rFonts w:ascii="Calibri" w:hAnsi="Calibri"/>
        </w:rPr>
      </w:pPr>
      <w:bookmarkStart w:id="37" w:name="__RefHeading___Toc2313_4124369062"/>
      <w:bookmarkEnd w:id="37"/>
      <w:r>
        <w:rPr/>
        <w:t>Processos Executados</w:t>
      </w:r>
    </w:p>
    <w:p>
      <w:pPr>
        <w:pStyle w:val="Compact"/>
        <w:numPr>
          <w:ilvl w:val="0"/>
          <w:numId w:val="110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Criação da entrega;</w:t>
      </w:r>
    </w:p>
    <w:p>
      <w:pPr>
        <w:pStyle w:val="Compact"/>
        <w:numPr>
          <w:ilvl w:val="0"/>
          <w:numId w:val="111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Separação;</w:t>
      </w:r>
    </w:p>
    <w:p>
      <w:pPr>
        <w:pStyle w:val="Compact"/>
        <w:numPr>
          <w:ilvl w:val="0"/>
          <w:numId w:val="112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Expedição;</w:t>
      </w:r>
    </w:p>
    <w:p>
      <w:pPr>
        <w:pStyle w:val="Compact"/>
        <w:numPr>
          <w:ilvl w:val="0"/>
          <w:numId w:val="113"/>
        </w:numPr>
        <w:rPr>
          <w:rFonts w:ascii="Calibri" w:hAnsi="Calibri"/>
        </w:rPr>
      </w:pPr>
      <w:bookmarkStart w:id="38" w:name="processos-executados"/>
      <w:r>
        <w:rPr>
          <w:rFonts w:ascii="Calibri" w:hAnsi="Calibri"/>
          <w:sz w:val="22"/>
          <w:szCs w:val="22"/>
        </w:rPr>
        <w:t>Atualização de estoque.</w:t>
      </w:r>
      <w:bookmarkEnd w:id="38"/>
      <w:r>
        <w:rPr>
          <w:rFonts w:ascii="Calibri" w:hAnsi="Calibri"/>
          <w:sz w:val="22"/>
          <w:szCs w:val="22"/>
        </w:rPr>
        <w:br/>
      </w:r>
    </w:p>
    <w:p>
      <w:pPr>
        <w:pStyle w:val="Heading3"/>
        <w:rPr>
          <w:rFonts w:ascii="Calibri" w:hAnsi="Calibri"/>
        </w:rPr>
      </w:pPr>
      <w:bookmarkStart w:id="39" w:name="__RefHeading___Toc2315_4124369062"/>
      <w:bookmarkEnd w:id="39"/>
      <w:r>
        <w:rPr/>
        <w:t>Movimento de Estoque</w:t>
      </w:r>
    </w:p>
    <w:tbl>
      <w:tblPr>
        <w:tblStyle w:val="Table"/>
        <w:tblW w:w="6015" w:type="dxa"/>
        <w:jc w:val="left"/>
        <w:tblInd w:w="57" w:type="dxa"/>
        <w:tblLayout w:type="fixed"/>
        <w:tblCellMar>
          <w:top w:w="28" w:type="dxa"/>
          <w:left w:w="57" w:type="dxa"/>
          <w:bottom w:w="28" w:type="dxa"/>
          <w:right w:w="0" w:type="dxa"/>
        </w:tblCellMar>
        <w:tblLook w:firstRow="1" w:noVBand="0" w:lastRow="0" w:firstColumn="0" w:lastColumn="0" w:noHBand="0" w:val="0020"/>
      </w:tblPr>
      <w:tblGrid>
        <w:gridCol w:w="1589"/>
        <w:gridCol w:w="4425"/>
      </w:tblGrid>
      <w:tr>
        <w:trPr>
          <w:tblHeader w:val="true"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b/>
                <w:bCs/>
                <w:kern w:val="0"/>
                <w:sz w:val="20"/>
                <w:szCs w:val="20"/>
                <w:lang w:val="en-US" w:eastAsia="en-US" w:bidi="ar-SA"/>
              </w:rPr>
              <w:t>Movimento</w:t>
            </w:r>
          </w:p>
        </w:tc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b/>
                <w:bCs/>
                <w:kern w:val="0"/>
                <w:sz w:val="20"/>
                <w:szCs w:val="20"/>
                <w:lang w:val="en-US" w:eastAsia="en-US" w:bidi="ar-SA"/>
              </w:rPr>
              <w:t>Descrição</w:t>
            </w:r>
          </w:p>
        </w:tc>
      </w:tr>
      <w:tr>
        <w:trPr/>
        <w:tc>
          <w:tcPr>
            <w:tcW w:w="15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631</w:t>
            </w:r>
          </w:p>
        </w:tc>
        <w:tc>
          <w:tcPr>
            <w:tcW w:w="4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Transferência para estoque de consignação</w:t>
            </w:r>
          </w:p>
        </w:tc>
      </w:tr>
    </w:tbl>
    <w:p>
      <w:pPr>
        <w:pStyle w:val="Normal"/>
        <w:rPr>
          <w:rFonts w:ascii="Calibri" w:hAnsi="Calibri"/>
        </w:rPr>
      </w:pPr>
      <w:bookmarkStart w:id="40" w:name="movimento-de-estoque"/>
      <w:bookmarkStart w:id="41" w:name="X8ce8fb7a3e67b15fb486ebf2f90e907c4100cd7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" name="Forma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4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0"/>
      <w:bookmarkEnd w:id="41"/>
    </w:p>
    <w:p>
      <w:pPr>
        <w:pStyle w:val="Heading2"/>
        <w:rPr>
          <w:rFonts w:ascii="Calibri" w:hAnsi="Calibri"/>
        </w:rPr>
      </w:pPr>
      <w:bookmarkStart w:id="42" w:name="__RefHeading___Toc2317_4124369062"/>
      <w:bookmarkEnd w:id="42"/>
      <w:r>
        <w:rPr/>
        <w:t>3.5 Etapa 5 – Faturamento e Documento Fiscal (VF01)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Após a expedição, a área fiscal realiza o faturamento da remessa.</w:t>
      </w:r>
    </w:p>
    <w:p>
      <w:pPr>
        <w:pStyle w:val="Heading3"/>
        <w:rPr>
          <w:rFonts w:ascii="Calibri" w:hAnsi="Calibri"/>
        </w:rPr>
      </w:pPr>
      <w:bookmarkStart w:id="43" w:name="__RefHeading___Toc2319_4124369062"/>
      <w:bookmarkEnd w:id="43"/>
      <w:r>
        <w:rPr/>
        <w:t>Resultados</w:t>
      </w:r>
    </w:p>
    <w:p>
      <w:pPr>
        <w:pStyle w:val="Compact"/>
        <w:numPr>
          <w:ilvl w:val="0"/>
          <w:numId w:val="114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Geração da NF-e;</w:t>
      </w:r>
    </w:p>
    <w:p>
      <w:pPr>
        <w:pStyle w:val="Compact"/>
        <w:numPr>
          <w:ilvl w:val="0"/>
          <w:numId w:val="115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Atualização contábil;</w:t>
      </w:r>
    </w:p>
    <w:p>
      <w:pPr>
        <w:pStyle w:val="Compact"/>
        <w:numPr>
          <w:ilvl w:val="0"/>
          <w:numId w:val="116"/>
        </w:numPr>
        <w:rPr>
          <w:rFonts w:ascii="Calibri" w:hAnsi="Calibri"/>
        </w:rPr>
      </w:pPr>
      <w:bookmarkStart w:id="44" w:name="resultados"/>
      <w:bookmarkStart w:id="45" w:name="Xe2cf97ddc72db67a186ff48cbc02cfbd7f61736"/>
      <w:bookmarkStart w:id="46" w:name="fluxo-operacional-do-processo"/>
      <w:r>
        <w:rPr>
          <w:rFonts w:ascii="Calibri" w:hAnsi="Calibri"/>
          <w:sz w:val="22"/>
          <w:szCs w:val="22"/>
        </w:rPr>
        <w:t>Registro fiscal da operação.</w:t>
      </w:r>
      <w:bookmarkEnd w:id="44"/>
      <w:bookmarkEnd w:id="45"/>
      <w:bookmarkEnd w:id="46"/>
    </w:p>
    <w:p>
      <w:pPr>
        <w:pStyle w:val="Heading1"/>
        <w:rPr>
          <w:rFonts w:ascii="Calibri" w:hAnsi="Calibri"/>
        </w:rPr>
      </w:pPr>
      <w:bookmarkStart w:id="47" w:name="__RefHeading___Toc2321_4124369062"/>
      <w:bookmarkEnd w:id="47"/>
      <w:r>
        <w:rPr/>
        <w:t>4. Fluxo de Entrada para Análise</w:t>
      </w:r>
    </w:p>
    <w:p>
      <w:pPr>
        <w:pStyle w:val="Heading2"/>
        <w:rPr>
          <w:rFonts w:ascii="Calibri" w:hAnsi="Calibri"/>
        </w:rPr>
      </w:pPr>
      <w:bookmarkStart w:id="48" w:name="__RefHeading___Toc2323_4124369062"/>
      <w:bookmarkEnd w:id="48"/>
      <w:r>
        <w:rPr/>
        <w:t>4.1 Retorno do Material Defeituoso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O cliente ou revenda realiza a devolução do material defeituoso para análise técnica.</w:t>
      </w:r>
    </w:p>
    <w:p>
      <w:pPr>
        <w:pStyle w:val="Heading3"/>
        <w:rPr>
          <w:rFonts w:ascii="Calibri" w:hAnsi="Calibri"/>
        </w:rPr>
      </w:pPr>
      <w:bookmarkStart w:id="49" w:name="__RefHeading___Toc2325_4124369062"/>
      <w:bookmarkEnd w:id="49"/>
      <w:r>
        <w:rPr/>
        <w:t>Regras Importantes</w:t>
      </w:r>
    </w:p>
    <w:p>
      <w:pPr>
        <w:pStyle w:val="Compact"/>
        <w:numPr>
          <w:ilvl w:val="0"/>
          <w:numId w:val="117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O retorno do material é obrigatório;</w:t>
      </w:r>
    </w:p>
    <w:p>
      <w:pPr>
        <w:pStyle w:val="Compact"/>
        <w:numPr>
          <w:ilvl w:val="0"/>
          <w:numId w:val="118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O processo não tem vínculo com garantia original dentro do SAP, controle manual;</w:t>
      </w:r>
    </w:p>
    <w:p>
      <w:pPr>
        <w:pStyle w:val="Compact"/>
        <w:numPr>
          <w:ilvl w:val="0"/>
          <w:numId w:val="119"/>
        </w:numPr>
        <w:rPr>
          <w:rFonts w:ascii="Calibri" w:hAnsi="Calibri"/>
        </w:rPr>
      </w:pPr>
      <w:bookmarkStart w:id="50" w:name="retorno-do-material-defeituoso"/>
      <w:bookmarkStart w:id="51" w:name="regras-importantes"/>
      <w:r>
        <w:rPr>
          <w:rFonts w:ascii="Calibri" w:hAnsi="Calibri"/>
          <w:sz w:val="22"/>
          <w:szCs w:val="22"/>
        </w:rPr>
        <w:t>A devolução precisa possuir documentação fiscal adequada.</w:t>
      </w:r>
      <w:bookmarkEnd w:id="50"/>
      <w:bookmarkEnd w:id="51"/>
    </w:p>
    <w:p>
      <w:pPr>
        <w:pStyle w:val="Compact"/>
        <w:numPr>
          <w:ilvl w:val="0"/>
          <w:numId w:val="0"/>
        </w:numPr>
        <w:ind w:hanging="0" w:left="72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Heading2"/>
        <w:rPr>
          <w:rFonts w:ascii="Calibri" w:hAnsi="Calibri"/>
        </w:rPr>
      </w:pPr>
      <w:bookmarkStart w:id="52" w:name="__RefHeading___Toc2327_4124369062"/>
      <w:bookmarkEnd w:id="52"/>
      <w:r>
        <w:rPr/>
        <w:t>4.2 Criação da Entrada ZEAG (VA01)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A área SD registra a entrada do material utilizando a remessa ZEAG.</w:t>
        <w:br/>
      </w:r>
    </w:p>
    <w:p>
      <w:pPr>
        <w:pStyle w:val="Heading3"/>
        <w:rPr>
          <w:rFonts w:ascii="Calibri" w:hAnsi="Calibri"/>
        </w:rPr>
      </w:pPr>
      <w:bookmarkStart w:id="53" w:name="__RefHeading___Toc2329_4124369062"/>
      <w:bookmarkEnd w:id="53"/>
      <w:r>
        <w:rPr/>
        <w:t>Finalidade</w:t>
      </w:r>
    </w:p>
    <w:p>
      <w:pPr>
        <w:pStyle w:val="Compact"/>
        <w:numPr>
          <w:ilvl w:val="0"/>
          <w:numId w:val="120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Controlar o recebimento do material;</w:t>
      </w:r>
    </w:p>
    <w:p>
      <w:pPr>
        <w:pStyle w:val="Compact"/>
        <w:numPr>
          <w:ilvl w:val="0"/>
          <w:numId w:val="121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Formalizar a entrada para análise;</w:t>
      </w:r>
    </w:p>
    <w:p>
      <w:pPr>
        <w:pStyle w:val="Compact"/>
        <w:numPr>
          <w:ilvl w:val="0"/>
          <w:numId w:val="122"/>
        </w:numPr>
        <w:rPr>
          <w:rFonts w:ascii="Calibri" w:hAnsi="Calibri"/>
        </w:rPr>
      </w:pPr>
      <w:bookmarkStart w:id="54" w:name="finalidade-1"/>
      <w:bookmarkStart w:id="55" w:name="criação-da-entrada-zeag-va01"/>
      <w:r>
        <w:rPr>
          <w:rFonts w:ascii="Calibri" w:hAnsi="Calibri"/>
          <w:sz w:val="22"/>
          <w:szCs w:val="22"/>
        </w:rPr>
        <w:t>Garantir rastreabilidade fiscal e logística.</w:t>
      </w:r>
      <w:bookmarkEnd w:id="54"/>
      <w:bookmarkEnd w:id="55"/>
    </w:p>
    <w:p>
      <w:pPr>
        <w:pStyle w:val="Compac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Heading2"/>
        <w:rPr>
          <w:rFonts w:ascii="Calibri" w:hAnsi="Calibri"/>
        </w:rPr>
      </w:pPr>
      <w:bookmarkStart w:id="56" w:name="__RefHeading___Toc2331_4124369062"/>
      <w:bookmarkEnd w:id="56"/>
      <w:r>
        <w:rPr/>
        <w:t>4.3 Execução Logística da Entrada (VL01N / VL02N)</w:t>
      </w:r>
    </w:p>
    <w:p>
      <w:pPr>
        <w:pStyle w:val="FirstParagrap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 área MM executa o recebimento físico do material.</w:t>
      </w:r>
    </w:p>
    <w:p>
      <w:pPr>
        <w:pStyle w:val="Heading3"/>
        <w:rPr>
          <w:rFonts w:ascii="Calibri" w:hAnsi="Calibri"/>
        </w:rPr>
      </w:pPr>
      <w:bookmarkStart w:id="57" w:name="__RefHeading___Toc2333_4124369062"/>
      <w:bookmarkEnd w:id="57"/>
      <w:r>
        <w:rPr/>
        <w:t>Processos Executados</w:t>
      </w:r>
    </w:p>
    <w:p>
      <w:pPr>
        <w:pStyle w:val="Compact"/>
        <w:numPr>
          <w:ilvl w:val="0"/>
          <w:numId w:val="123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Recebimento da entrega;</w:t>
      </w:r>
    </w:p>
    <w:p>
      <w:pPr>
        <w:pStyle w:val="Compact"/>
        <w:numPr>
          <w:ilvl w:val="0"/>
          <w:numId w:val="124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Conferência física;</w:t>
      </w:r>
    </w:p>
    <w:p>
      <w:pPr>
        <w:pStyle w:val="Compact"/>
        <w:numPr>
          <w:ilvl w:val="0"/>
          <w:numId w:val="125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Entrada em estoque;</w:t>
      </w:r>
    </w:p>
    <w:p>
      <w:pPr>
        <w:pStyle w:val="Compact"/>
        <w:numPr>
          <w:ilvl w:val="0"/>
          <w:numId w:val="126"/>
        </w:numPr>
        <w:rPr>
          <w:rFonts w:ascii="Calibri" w:hAnsi="Calibri"/>
        </w:rPr>
      </w:pPr>
      <w:bookmarkStart w:id="58" w:name="processos-executados-1"/>
      <w:r>
        <w:rPr>
          <w:rFonts w:ascii="Calibri" w:hAnsi="Calibri"/>
          <w:sz w:val="22"/>
          <w:szCs w:val="22"/>
        </w:rPr>
        <w:t>Registro da movimentação.</w:t>
      </w:r>
      <w:bookmarkEnd w:id="58"/>
    </w:p>
    <w:p>
      <w:pPr>
        <w:pStyle w:val="Heading3"/>
        <w:rPr>
          <w:rFonts w:ascii="Calibri" w:hAnsi="Calibri"/>
        </w:rPr>
      </w:pPr>
      <w:r>
        <w:rPr/>
      </w:r>
    </w:p>
    <w:p>
      <w:pPr>
        <w:pStyle w:val="Heading3"/>
        <w:rPr>
          <w:rFonts w:ascii="Calibri" w:hAnsi="Calibri"/>
        </w:rPr>
      </w:pPr>
      <w:bookmarkStart w:id="59" w:name="__RefHeading___Toc2335_4124369062"/>
      <w:bookmarkEnd w:id="59"/>
      <w:r>
        <w:rPr/>
        <w:t>Movimento de Estoque</w:t>
      </w:r>
    </w:p>
    <w:tbl>
      <w:tblPr>
        <w:tblStyle w:val="Table"/>
        <w:tblW w:w="5790" w:type="dxa"/>
        <w:jc w:val="left"/>
        <w:tblInd w:w="57" w:type="dxa"/>
        <w:tblLayout w:type="fixed"/>
        <w:tblCellMar>
          <w:top w:w="0" w:type="dxa"/>
          <w:left w:w="57" w:type="dxa"/>
          <w:bottom w:w="0" w:type="dxa"/>
          <w:right w:w="0" w:type="dxa"/>
        </w:tblCellMar>
        <w:tblLook w:firstRow="1" w:noVBand="0" w:lastRow="0" w:firstColumn="0" w:lastColumn="0" w:noHBand="0" w:val="0020"/>
      </w:tblPr>
      <w:tblGrid>
        <w:gridCol w:w="1589"/>
        <w:gridCol w:w="4200"/>
      </w:tblGrid>
      <w:tr>
        <w:trPr>
          <w:tblHeader w:val="true"/>
        </w:trPr>
        <w:tc>
          <w:tcPr>
            <w:tcW w:w="1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b/>
                <w:bCs/>
                <w:kern w:val="0"/>
                <w:sz w:val="20"/>
                <w:szCs w:val="20"/>
                <w:lang w:val="en-US" w:eastAsia="en-US" w:bidi="ar-SA"/>
              </w:rPr>
              <w:t>Movimento</w:t>
            </w:r>
          </w:p>
        </w:tc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b/>
                <w:bCs/>
                <w:kern w:val="0"/>
                <w:sz w:val="20"/>
                <w:szCs w:val="20"/>
                <w:lang w:val="en-US" w:eastAsia="en-US" w:bidi="ar-SA"/>
              </w:rPr>
              <w:t>Descrição</w:t>
            </w:r>
          </w:p>
        </w:tc>
      </w:tr>
      <w:tr>
        <w:trPr/>
        <w:tc>
          <w:tcPr>
            <w:tcW w:w="158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Z17</w:t>
            </w:r>
          </w:p>
        </w:tc>
        <w:tc>
          <w:tcPr>
            <w:tcW w:w="42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Entrada para análise de garantia</w:t>
            </w:r>
            <w:bookmarkStart w:id="60" w:name="movimento-de-estoque-1"/>
            <w:bookmarkEnd w:id="60"/>
          </w:p>
        </w:tc>
      </w:tr>
    </w:tbl>
    <w:p>
      <w:pPr>
        <w:pStyle w:val="Heading3"/>
        <w:rPr>
          <w:rFonts w:ascii="Calibri" w:hAnsi="Calibri"/>
        </w:rPr>
      </w:pPr>
      <w:bookmarkStart w:id="61" w:name="__RefHeading___Toc2337_4124369062"/>
      <w:bookmarkEnd w:id="61"/>
      <w:r>
        <w:rPr/>
        <w:br/>
        <w:t>Depósito Utilizado</w:t>
      </w:r>
    </w:p>
    <w:p>
      <w:pPr>
        <w:pStyle w:val="Compact"/>
        <w:numPr>
          <w:ilvl w:val="0"/>
          <w:numId w:val="127"/>
        </w:numPr>
        <w:rPr>
          <w:rFonts w:ascii="Calibri" w:hAnsi="Calibri"/>
        </w:rPr>
      </w:pPr>
      <w:bookmarkStart w:id="62" w:name="X2506f3d10d2685aa175d559d16b6ca0a9dbf2a5"/>
      <w:r>
        <w:rPr>
          <w:rFonts w:ascii="Calibri" w:hAnsi="Calibri"/>
          <w:sz w:val="22"/>
          <w:szCs w:val="22"/>
        </w:rPr>
        <w:t>D025</w:t>
      </w:r>
      <w:bookmarkEnd w:id="62"/>
      <w:r>
        <w:rPr>
          <w:rFonts w:ascii="Calibri" w:hAnsi="Calibri"/>
          <w:sz w:val="22"/>
          <w:szCs w:val="22"/>
        </w:rPr>
        <w:br/>
      </w:r>
    </w:p>
    <w:p>
      <w:pPr>
        <w:pStyle w:val="Heading2"/>
        <w:rPr>
          <w:rFonts w:ascii="Calibri" w:hAnsi="Calibri"/>
        </w:rPr>
      </w:pPr>
      <w:bookmarkStart w:id="63" w:name="__RefHeading___Toc2339_4124369062"/>
      <w:bookmarkEnd w:id="63"/>
      <w:r>
        <w:rPr>
          <w:sz w:val="22"/>
          <w:szCs w:val="22"/>
        </w:rPr>
        <w:br/>
      </w:r>
      <w:r>
        <w:rPr/>
        <w:t>4.4 Análise Técnica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O departamento de Qualidade executa a análise técnica do material devolvido.</w:t>
      </w:r>
    </w:p>
    <w:p>
      <w:pPr>
        <w:pStyle w:val="Heading3"/>
        <w:rPr>
          <w:rFonts w:ascii="Calibri" w:hAnsi="Calibri"/>
        </w:rPr>
      </w:pPr>
      <w:bookmarkStart w:id="64" w:name="__RefHeading___Toc2341_4124369062"/>
      <w:bookmarkEnd w:id="64"/>
      <w:r>
        <w:rPr/>
        <w:t>Objetivos</w:t>
      </w:r>
    </w:p>
    <w:p>
      <w:pPr>
        <w:pStyle w:val="Compact"/>
        <w:numPr>
          <w:ilvl w:val="0"/>
          <w:numId w:val="128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Validar defeito informado;</w:t>
      </w:r>
    </w:p>
    <w:p>
      <w:pPr>
        <w:pStyle w:val="Compact"/>
        <w:numPr>
          <w:ilvl w:val="0"/>
          <w:numId w:val="129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Identificar causa raiz;</w:t>
      </w:r>
    </w:p>
    <w:p>
      <w:pPr>
        <w:pStyle w:val="Compact"/>
        <w:numPr>
          <w:ilvl w:val="0"/>
          <w:numId w:val="130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Determinar cobertura de garantia;</w:t>
      </w:r>
    </w:p>
    <w:p>
      <w:pPr>
        <w:pStyle w:val="Compact"/>
        <w:numPr>
          <w:ilvl w:val="0"/>
          <w:numId w:val="131"/>
        </w:numPr>
        <w:rPr>
          <w:rFonts w:ascii="Calibri" w:hAnsi="Calibri"/>
        </w:rPr>
      </w:pPr>
      <w:bookmarkStart w:id="65" w:name="objetivos"/>
      <w:r>
        <w:rPr>
          <w:rFonts w:ascii="Calibri" w:hAnsi="Calibri"/>
          <w:sz w:val="22"/>
          <w:szCs w:val="22"/>
        </w:rPr>
        <w:t>Definir necessidade de reparo, troca ou cobrança.</w:t>
      </w:r>
      <w:bookmarkEnd w:id="65"/>
      <w:r>
        <w:rPr>
          <w:rFonts w:ascii="Calibri" w:hAnsi="Calibri"/>
          <w:sz w:val="22"/>
          <w:szCs w:val="22"/>
        </w:rPr>
        <w:br/>
      </w:r>
    </w:p>
    <w:p>
      <w:pPr>
        <w:pStyle w:val="Heading3"/>
        <w:rPr>
          <w:rFonts w:ascii="Calibri" w:hAnsi="Calibri"/>
        </w:rPr>
      </w:pPr>
      <w:bookmarkStart w:id="66" w:name="__RefHeading___Toc2343_4124369062"/>
      <w:bookmarkEnd w:id="66"/>
      <w:r>
        <w:rPr/>
        <w:t>Resultado da Análise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O processo pode seguir por dois cenários:</w:t>
      </w:r>
    </w:p>
    <w:p>
      <w:pPr>
        <w:pStyle w:val="Compact"/>
        <w:numPr>
          <w:ilvl w:val="0"/>
          <w:numId w:val="132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Garantia concedida;</w:t>
      </w:r>
    </w:p>
    <w:p>
      <w:pPr>
        <w:pStyle w:val="Compact"/>
        <w:numPr>
          <w:ilvl w:val="0"/>
          <w:numId w:val="133"/>
        </w:numPr>
        <w:rPr>
          <w:rFonts w:ascii="Calibri" w:hAnsi="Calibri"/>
        </w:rPr>
      </w:pPr>
      <w:bookmarkStart w:id="67" w:name="resultado-da-análise"/>
      <w:bookmarkStart w:id="68" w:name="análise-técnica"/>
      <w:bookmarkStart w:id="69" w:name="fluxo-de-entrada-para-análise"/>
      <w:r>
        <w:rPr>
          <w:rFonts w:ascii="Calibri" w:hAnsi="Calibri"/>
          <w:sz w:val="22"/>
          <w:szCs w:val="22"/>
        </w:rPr>
        <w:t>Garantia negada.</w:t>
      </w:r>
      <w:bookmarkEnd w:id="67"/>
      <w:bookmarkEnd w:id="68"/>
      <w:bookmarkEnd w:id="69"/>
    </w:p>
    <w:p>
      <w:pPr>
        <w:pStyle w:val="Heading1"/>
        <w:rPr>
          <w:rFonts w:ascii="Calibri" w:hAnsi="Calibri"/>
        </w:rPr>
      </w:pPr>
      <w:bookmarkStart w:id="70" w:name="__RefHeading___Toc2345_4124369062"/>
      <w:bookmarkEnd w:id="70"/>
      <w:r>
        <w:rPr/>
        <w:t>5. Fluxos de Decisão da Garantia</w:t>
      </w:r>
    </w:p>
    <w:p>
      <w:pPr>
        <w:pStyle w:val="Heading2"/>
        <w:rPr>
          <w:rFonts w:ascii="Calibri" w:hAnsi="Calibri"/>
        </w:rPr>
      </w:pPr>
      <w:bookmarkStart w:id="71" w:name="__RefHeading___Toc2347_4124369062"/>
      <w:bookmarkEnd w:id="71"/>
      <w:r>
        <w:rPr/>
        <w:t>5.1 Garantia Concedida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Quando a análise confirma concessão de garantia, são executados os fluxos de regularização fiscal.</w:t>
      </w:r>
    </w:p>
    <w:p>
      <w:pPr>
        <w:pStyle w:val="Heading3"/>
        <w:rPr>
          <w:rFonts w:ascii="Calibri" w:hAnsi="Calibri"/>
        </w:rPr>
      </w:pPr>
      <w:bookmarkStart w:id="72" w:name="__RefHeading___Toc2349_4124369062"/>
      <w:bookmarkEnd w:id="72"/>
      <w:r>
        <w:rPr/>
        <w:t>Processos Utilizados</w:t>
      </w:r>
    </w:p>
    <w:tbl>
      <w:tblPr>
        <w:tblStyle w:val="Table"/>
        <w:tblW w:w="5790" w:type="dxa"/>
        <w:jc w:val="left"/>
        <w:tblInd w:w="57" w:type="dxa"/>
        <w:tblLayout w:type="fixed"/>
        <w:tblCellMar>
          <w:top w:w="0" w:type="dxa"/>
          <w:left w:w="57" w:type="dxa"/>
          <w:bottom w:w="0" w:type="dxa"/>
          <w:right w:w="0" w:type="dxa"/>
        </w:tblCellMar>
        <w:tblLook w:firstRow="1" w:noVBand="0" w:lastRow="0" w:firstColumn="0" w:lastColumn="0" w:noHBand="0" w:val="0020"/>
      </w:tblPr>
      <w:tblGrid>
        <w:gridCol w:w="1589"/>
        <w:gridCol w:w="4200"/>
      </w:tblGrid>
      <w:tr>
        <w:trPr>
          <w:tblHeader w:val="true"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b/>
                <w:bCs/>
                <w:kern w:val="0"/>
                <w:sz w:val="20"/>
                <w:szCs w:val="20"/>
                <w:lang w:val="en-US" w:eastAsia="en-US" w:bidi="ar-SA"/>
              </w:rPr>
              <w:t>Código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b/>
                <w:bCs/>
                <w:kern w:val="0"/>
                <w:sz w:val="20"/>
                <w:szCs w:val="20"/>
                <w:lang w:val="en-US" w:eastAsia="en-US" w:bidi="ar-SA"/>
              </w:rPr>
              <w:t>Descrição</w:t>
            </w:r>
          </w:p>
        </w:tc>
      </w:tr>
      <w:tr>
        <w:trPr>
          <w:trHeight w:val="179" w:hRule="atLeast"/>
        </w:trPr>
        <w:tc>
          <w:tcPr>
            <w:tcW w:w="15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ZDGA</w:t>
            </w:r>
          </w:p>
        </w:tc>
        <w:tc>
          <w:tcPr>
            <w:tcW w:w="42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Acerto fiscal sem movimentação física</w:t>
            </w:r>
          </w:p>
        </w:tc>
      </w:tr>
      <w:tr>
        <w:trPr/>
        <w:tc>
          <w:tcPr>
            <w:tcW w:w="15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ZDAG</w:t>
            </w:r>
          </w:p>
        </w:tc>
        <w:tc>
          <w:tcPr>
            <w:tcW w:w="42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Acerto fiscal sem movimentação física</w:t>
            </w:r>
            <w:bookmarkStart w:id="73" w:name="processos-utilizados"/>
            <w:bookmarkEnd w:id="73"/>
          </w:p>
        </w:tc>
      </w:tr>
    </w:tbl>
    <w:p>
      <w:pPr>
        <w:pStyle w:val="Heading3"/>
        <w:rPr>
          <w:rFonts w:ascii="Calibri" w:hAnsi="Calibri"/>
        </w:rPr>
      </w:pPr>
      <w:bookmarkStart w:id="74" w:name="__RefHeading___Toc2351_4124369062"/>
      <w:bookmarkEnd w:id="74"/>
      <w:r>
        <w:rPr>
          <w:sz w:val="22"/>
          <w:szCs w:val="22"/>
        </w:rPr>
        <w:br/>
      </w:r>
      <w:r>
        <w:rPr/>
        <w:t>Características</w:t>
      </w:r>
    </w:p>
    <w:p>
      <w:pPr>
        <w:pStyle w:val="Compact"/>
        <w:numPr>
          <w:ilvl w:val="0"/>
          <w:numId w:val="134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Não ocorre cobrança ao cliente;</w:t>
      </w:r>
    </w:p>
    <w:p>
      <w:pPr>
        <w:pStyle w:val="Compact"/>
        <w:numPr>
          <w:ilvl w:val="0"/>
          <w:numId w:val="135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Processo focado em regularização fiscal;</w:t>
      </w:r>
    </w:p>
    <w:p>
      <w:pPr>
        <w:pStyle w:val="Compact"/>
        <w:numPr>
          <w:ilvl w:val="0"/>
          <w:numId w:val="136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E</w:t>
      </w:r>
      <w:bookmarkStart w:id="75" w:name="garantia-concedida"/>
      <w:r>
        <w:rPr>
          <w:rFonts w:ascii="Calibri" w:hAnsi="Calibri"/>
          <w:sz w:val="22"/>
          <w:szCs w:val="22"/>
        </w:rPr>
        <w:t>ncerramento técnico do atendimento.</w:t>
      </w:r>
      <w:bookmarkEnd w:id="75"/>
    </w:p>
    <w:p>
      <w:pPr>
        <w:pStyle w:val="FirstParagrap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FirstParagrap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FirstParagrap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FirstParagrap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FirstParagrap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Heading2"/>
        <w:rPr>
          <w:rFonts w:ascii="Calibri" w:hAnsi="Calibri"/>
        </w:rPr>
      </w:pPr>
      <w:bookmarkStart w:id="76" w:name="__RefHeading___Toc2353_4124369062"/>
      <w:bookmarkEnd w:id="76"/>
      <w:r>
        <w:rPr>
          <w:sz w:val="22"/>
          <w:szCs w:val="22"/>
        </w:rPr>
        <w:br/>
      </w:r>
      <w:r>
        <w:rPr/>
        <w:t>5.2 Garantia Negada</w:t>
      </w:r>
    </w:p>
    <w:p>
      <w:pPr>
        <w:pStyle w:val="FirstParagrap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Quando a análise identifica improcedência da garantia, o processo segue para devolução e faturamento.</w:t>
      </w:r>
    </w:p>
    <w:p>
      <w:pPr>
        <w:pStyle w:val="Heading3"/>
        <w:rPr>
          <w:rFonts w:ascii="Calibri" w:hAnsi="Calibri"/>
        </w:rPr>
      </w:pPr>
      <w:bookmarkStart w:id="77" w:name="__RefHeading___Toc2355_4124369062"/>
      <w:bookmarkEnd w:id="77"/>
      <w:r>
        <w:rPr/>
        <w:t>Processos Executados</w:t>
      </w:r>
    </w:p>
    <w:p>
      <w:pPr>
        <w:pStyle w:val="Compact"/>
        <w:numPr>
          <w:ilvl w:val="0"/>
          <w:numId w:val="137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Devolução do material;</w:t>
      </w:r>
    </w:p>
    <w:p>
      <w:pPr>
        <w:pStyle w:val="Compact"/>
        <w:numPr>
          <w:ilvl w:val="0"/>
          <w:numId w:val="138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Geração de cobrança;</w:t>
      </w:r>
    </w:p>
    <w:p>
      <w:pPr>
        <w:pStyle w:val="Compact"/>
        <w:numPr>
          <w:ilvl w:val="0"/>
          <w:numId w:val="139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Faturamento das peças enviadas;</w:t>
      </w:r>
    </w:p>
    <w:p>
      <w:pPr>
        <w:pStyle w:val="Compact"/>
        <w:numPr>
          <w:ilvl w:val="0"/>
          <w:numId w:val="140"/>
        </w:numPr>
        <w:rPr>
          <w:rFonts w:ascii="Calibri" w:hAnsi="Calibri"/>
        </w:rPr>
      </w:pPr>
      <w:bookmarkStart w:id="78" w:name="processos-executados-2"/>
      <w:r>
        <w:rPr>
          <w:rFonts w:ascii="Calibri" w:hAnsi="Calibri"/>
          <w:sz w:val="22"/>
          <w:szCs w:val="22"/>
        </w:rPr>
        <w:t>Regularização fiscal.</w:t>
      </w:r>
      <w:bookmarkEnd w:id="78"/>
      <w:r>
        <w:rPr>
          <w:rFonts w:ascii="Calibri" w:hAnsi="Calibri"/>
          <w:sz w:val="22"/>
          <w:szCs w:val="22"/>
        </w:rPr>
        <w:br/>
      </w:r>
    </w:p>
    <w:p>
      <w:pPr>
        <w:pStyle w:val="Heading3"/>
        <w:rPr>
          <w:rFonts w:ascii="Calibri" w:hAnsi="Calibri"/>
        </w:rPr>
      </w:pPr>
      <w:bookmarkStart w:id="79" w:name="__RefHeading___Toc2357_4124369062"/>
      <w:bookmarkEnd w:id="79"/>
      <w:r>
        <w:rPr/>
        <w:t>Fluxos Relacionados</w:t>
      </w:r>
    </w:p>
    <w:tbl>
      <w:tblPr>
        <w:tblStyle w:val="Table"/>
        <w:tblW w:w="5790" w:type="dxa"/>
        <w:jc w:val="left"/>
        <w:tblInd w:w="108" w:type="dxa"/>
        <w:tblLayout w:type="fixed"/>
        <w:tblCellMar>
          <w:top w:w="55" w:type="dxa"/>
          <w:left w:w="108" w:type="dxa"/>
          <w:bottom w:w="55" w:type="dxa"/>
          <w:right w:w="108" w:type="dxa"/>
        </w:tblCellMar>
        <w:tblLook w:firstRow="1" w:noVBand="0" w:lastRow="0" w:firstColumn="0" w:lastColumn="0" w:noHBand="0" w:val="0020"/>
      </w:tblPr>
      <w:tblGrid>
        <w:gridCol w:w="1589"/>
        <w:gridCol w:w="4200"/>
      </w:tblGrid>
      <w:tr>
        <w:trPr>
          <w:tblHeader w:val="true"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b/>
                <w:bCs/>
                <w:kern w:val="0"/>
                <w:sz w:val="20"/>
                <w:szCs w:val="20"/>
                <w:lang w:val="en-US" w:eastAsia="en-US" w:bidi="ar-SA"/>
              </w:rPr>
              <w:t>Código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b/>
                <w:bCs/>
                <w:kern w:val="0"/>
                <w:sz w:val="20"/>
                <w:szCs w:val="20"/>
                <w:lang w:val="en-US" w:eastAsia="en-US" w:bidi="ar-SA"/>
              </w:rPr>
              <w:t>Descrição</w:t>
            </w:r>
          </w:p>
        </w:tc>
      </w:tr>
      <w:tr>
        <w:trPr/>
        <w:tc>
          <w:tcPr>
            <w:tcW w:w="15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ZDAG</w:t>
            </w:r>
          </w:p>
        </w:tc>
        <w:tc>
          <w:tcPr>
            <w:tcW w:w="42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Devolução com ou sem envio físico</w:t>
            </w:r>
          </w:p>
        </w:tc>
      </w:tr>
    </w:tbl>
    <w:p>
      <w:pPr>
        <w:pStyle w:val="Normal"/>
        <w:rPr>
          <w:rFonts w:ascii="Calibri" w:hAnsi="Calibri"/>
        </w:rPr>
      </w:pPr>
      <w:bookmarkStart w:id="80" w:name="fluxos-relacionados"/>
      <w:bookmarkStart w:id="81" w:name="garantia-negada"/>
      <w:bookmarkStart w:id="82" w:name="fluxos-de-decisão-da-garantia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" name="Forma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5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80"/>
      <w:bookmarkEnd w:id="81"/>
      <w:bookmarkEnd w:id="82"/>
    </w:p>
    <w:p>
      <w:pPr>
        <w:pStyle w:val="Heading1"/>
        <w:rPr>
          <w:rFonts w:ascii="Calibri" w:hAnsi="Calibri"/>
        </w:rPr>
      </w:pPr>
      <w:bookmarkStart w:id="83" w:name="__RefHeading___Toc2359_4124369062"/>
      <w:bookmarkStart w:id="84" w:name="regras-de-negócio-e-validações"/>
      <w:bookmarkEnd w:id="83"/>
      <w:bookmarkEnd w:id="84"/>
      <w:r>
        <w:rPr/>
        <w:t>6. Regras de Negócio e Validações</w:t>
      </w:r>
    </w:p>
    <w:p>
      <w:pPr>
        <w:pStyle w:val="Heading2"/>
        <w:rPr>
          <w:rFonts w:ascii="Calibri" w:hAnsi="Calibri"/>
        </w:rPr>
      </w:pPr>
      <w:bookmarkStart w:id="85" w:name="__RefHeading___Toc2361_4124369062"/>
      <w:bookmarkEnd w:id="85"/>
      <w:r>
        <w:rPr/>
        <w:t>6.1 Regras Gerais</w:t>
      </w:r>
    </w:p>
    <w:p>
      <w:pPr>
        <w:pStyle w:val="Compact"/>
        <w:numPr>
          <w:ilvl w:val="0"/>
          <w:numId w:val="141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O frete inicial é responsabilidade da revenda;</w:t>
      </w:r>
    </w:p>
    <w:p>
      <w:pPr>
        <w:pStyle w:val="Compact"/>
        <w:numPr>
          <w:ilvl w:val="0"/>
          <w:numId w:val="142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O retorno do material é obrigatório para análise;</w:t>
      </w:r>
    </w:p>
    <w:p>
      <w:pPr>
        <w:pStyle w:val="Compact"/>
        <w:numPr>
          <w:ilvl w:val="0"/>
          <w:numId w:val="143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Garantia concedida não gera cobrança;</w:t>
      </w:r>
    </w:p>
    <w:p>
      <w:pPr>
        <w:pStyle w:val="Compact"/>
        <w:numPr>
          <w:ilvl w:val="0"/>
          <w:numId w:val="144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Garantia negada gera cobrança das peças enviadas;</w:t>
      </w:r>
    </w:p>
    <w:p>
      <w:pPr>
        <w:pStyle w:val="Compact"/>
        <w:numPr>
          <w:ilvl w:val="0"/>
          <w:numId w:val="145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Todos os processos geram documento fiscal;</w:t>
      </w:r>
    </w:p>
    <w:p>
      <w:pPr>
        <w:pStyle w:val="Compact"/>
        <w:numPr>
          <w:ilvl w:val="0"/>
          <w:numId w:val="146"/>
        </w:numPr>
        <w:rPr>
          <w:rFonts w:ascii="Calibri" w:hAnsi="Calibri"/>
        </w:rPr>
      </w:pPr>
      <w:bookmarkStart w:id="86" w:name="regras-gerais"/>
      <w:r>
        <w:rPr>
          <w:rFonts w:ascii="Calibri" w:hAnsi="Calibri"/>
          <w:sz w:val="22"/>
          <w:szCs w:val="22"/>
        </w:rPr>
        <w:t>Existem fluxos sem movimentação física de peças.</w:t>
      </w:r>
      <w:bookmarkEnd w:id="86"/>
    </w:p>
    <w:p>
      <w:pPr>
        <w:pStyle w:val="Compac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Heading2"/>
        <w:rPr>
          <w:rFonts w:ascii="Calibri" w:hAnsi="Calibri"/>
        </w:rPr>
      </w:pPr>
      <w:bookmarkStart w:id="87" w:name="__RefHeading___Toc2363_4124369062"/>
      <w:bookmarkStart w:id="88" w:name="controle-fiscal-e-logístico"/>
      <w:bookmarkEnd w:id="87"/>
      <w:bookmarkEnd w:id="88"/>
      <w:r>
        <w:rPr/>
        <w:t>6.2 Controle Fiscal e Logístico</w:t>
      </w:r>
    </w:p>
    <w:p>
      <w:pPr>
        <w:pStyle w:val="Heading3"/>
        <w:rPr>
          <w:rFonts w:ascii="Calibri" w:hAnsi="Calibri"/>
        </w:rPr>
      </w:pPr>
      <w:bookmarkStart w:id="89" w:name="__RefHeading___Toc2365_4124369062"/>
      <w:bookmarkStart w:id="90" w:name="tipos-de-remessa-cfop-e-movimentos"/>
      <w:bookmarkEnd w:id="89"/>
      <w:bookmarkEnd w:id="90"/>
      <w:r>
        <w:rPr/>
        <w:t>Tipos de Remessa, CFOP e Movimentos</w:t>
      </w:r>
    </w:p>
    <w:tbl>
      <w:tblPr>
        <w:tblStyle w:val="Table"/>
        <w:tblW w:w="5000" w:type="pct"/>
        <w:jc w:val="left"/>
        <w:tblInd w:w="57" w:type="dxa"/>
        <w:tblLayout w:type="fixed"/>
        <w:tblCellMar>
          <w:top w:w="0" w:type="dxa"/>
          <w:left w:w="57" w:type="dxa"/>
          <w:bottom w:w="0" w:type="dxa"/>
          <w:right w:w="0" w:type="dxa"/>
        </w:tblCellMar>
        <w:tblLook w:firstRow="1" w:noVBand="0" w:lastRow="0" w:firstColumn="0" w:lastColumn="0" w:noHBand="0" w:val="0020"/>
      </w:tblPr>
      <w:tblGrid>
        <w:gridCol w:w="789"/>
        <w:gridCol w:w="2729"/>
        <w:gridCol w:w="3682"/>
        <w:gridCol w:w="1077"/>
        <w:gridCol w:w="1128"/>
      </w:tblGrid>
      <w:tr>
        <w:trPr>
          <w:tblHeader w:val="true"/>
        </w:trPr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mpact"/>
              <w:widowControl/>
              <w:suppressAutoHyphens w:val="true"/>
              <w:spacing w:lineRule="auto" w:line="276" w:before="57" w:after="57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b/>
                <w:bCs/>
                <w:kern w:val="0"/>
                <w:sz w:val="20"/>
                <w:szCs w:val="20"/>
                <w:lang w:val="en-US" w:eastAsia="en-US" w:bidi="ar-SA"/>
              </w:rPr>
              <w:t>Código</w:t>
            </w:r>
          </w:p>
        </w:tc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mpact"/>
              <w:widowControl/>
              <w:suppressAutoHyphens w:val="true"/>
              <w:spacing w:lineRule="auto" w:line="276" w:before="57" w:after="57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b/>
                <w:bCs/>
                <w:kern w:val="0"/>
                <w:sz w:val="20"/>
                <w:szCs w:val="20"/>
                <w:lang w:val="en-US" w:eastAsia="en-US" w:bidi="ar-SA"/>
              </w:rPr>
              <w:t>Descrição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mpact"/>
              <w:widowControl/>
              <w:suppressAutoHyphens w:val="true"/>
              <w:spacing w:lineRule="auto" w:line="276" w:before="57" w:after="57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b/>
                <w:bCs/>
                <w:kern w:val="0"/>
                <w:sz w:val="20"/>
                <w:szCs w:val="20"/>
                <w:lang w:val="en-US" w:eastAsia="en-US" w:bidi="ar-SA"/>
              </w:rPr>
              <w:t>Finalidade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mpact"/>
              <w:widowControl/>
              <w:suppressAutoHyphens w:val="true"/>
              <w:spacing w:lineRule="auto" w:line="276" w:before="57" w:after="57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b/>
                <w:bCs/>
                <w:kern w:val="0"/>
                <w:sz w:val="20"/>
                <w:szCs w:val="20"/>
                <w:lang w:val="en-US" w:eastAsia="en-US" w:bidi="ar-SA"/>
              </w:rPr>
              <w:t>CFOP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widowControl/>
              <w:suppressAutoHyphens w:val="true"/>
              <w:spacing w:lineRule="auto" w:line="276" w:before="57" w:after="57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b/>
                <w:bCs/>
                <w:kern w:val="0"/>
                <w:sz w:val="20"/>
                <w:szCs w:val="20"/>
                <w:lang w:val="en-US" w:eastAsia="en-US" w:bidi="ar-SA"/>
              </w:rPr>
              <w:t>Movimento</w:t>
            </w:r>
          </w:p>
        </w:tc>
      </w:tr>
      <w:tr>
        <w:trPr/>
        <w:tc>
          <w:tcPr>
            <w:tcW w:w="7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ZGAR</w:t>
            </w:r>
          </w:p>
        </w:tc>
        <w:tc>
          <w:tcPr>
            <w:tcW w:w="272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Remessa de Garantia</w:t>
            </w:r>
          </w:p>
        </w:tc>
        <w:tc>
          <w:tcPr>
            <w:tcW w:w="36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Envio antecipado de peças/equipamentos</w:t>
            </w:r>
          </w:p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Estoque W – consignação cliente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5949 / 6949</w:t>
            </w:r>
          </w:p>
        </w:tc>
        <w:tc>
          <w:tcPr>
            <w:tcW w:w="1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631</w:t>
            </w:r>
          </w:p>
        </w:tc>
      </w:tr>
      <w:tr>
        <w:trPr/>
        <w:tc>
          <w:tcPr>
            <w:tcW w:w="7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ZEAG</w:t>
            </w:r>
          </w:p>
        </w:tc>
        <w:tc>
          <w:tcPr>
            <w:tcW w:w="272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Entrada Análise de Garantia</w:t>
            </w:r>
          </w:p>
        </w:tc>
        <w:tc>
          <w:tcPr>
            <w:tcW w:w="36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Entrada/recebimento de material para análise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1949 / 2949</w:t>
            </w:r>
          </w:p>
        </w:tc>
        <w:tc>
          <w:tcPr>
            <w:tcW w:w="1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Z17</w:t>
            </w:r>
          </w:p>
        </w:tc>
      </w:tr>
      <w:tr>
        <w:trPr/>
        <w:tc>
          <w:tcPr>
            <w:tcW w:w="7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ZDGA</w:t>
            </w:r>
          </w:p>
        </w:tc>
        <w:tc>
          <w:tcPr>
            <w:tcW w:w="272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Remessa de Devolução Garantia</w:t>
            </w:r>
          </w:p>
        </w:tc>
        <w:tc>
          <w:tcPr>
            <w:tcW w:w="36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Acerto fiscal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5949 / 6949</w:t>
            </w:r>
          </w:p>
        </w:tc>
        <w:tc>
          <w:tcPr>
            <w:tcW w:w="1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Z09</w:t>
            </w:r>
          </w:p>
        </w:tc>
      </w:tr>
      <w:tr>
        <w:trPr/>
        <w:tc>
          <w:tcPr>
            <w:tcW w:w="7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ZDAG</w:t>
            </w:r>
          </w:p>
        </w:tc>
        <w:tc>
          <w:tcPr>
            <w:tcW w:w="272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Devolução Análise Garantia</w:t>
            </w:r>
          </w:p>
        </w:tc>
        <w:tc>
          <w:tcPr>
            <w:tcW w:w="36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Devolução de material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1949 / 2949</w:t>
            </w:r>
          </w:p>
        </w:tc>
        <w:tc>
          <w:tcPr>
            <w:tcW w:w="1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Z18</w:t>
            </w:r>
          </w:p>
        </w:tc>
      </w:tr>
    </w:tbl>
    <w:p>
      <w:pPr>
        <w:pStyle w:val="Heading1"/>
        <w:rPr>
          <w:rFonts w:ascii="Calibri" w:hAnsi="Calibri"/>
        </w:rPr>
      </w:pPr>
      <w:bookmarkStart w:id="91" w:name="__RefHeading___Toc2367_4124369062"/>
      <w:bookmarkStart w:id="92" w:name="regras-de-negócio-e-validações_Copia_1"/>
      <w:bookmarkEnd w:id="91"/>
      <w:bookmarkEnd w:id="92"/>
      <w:r>
        <w:rPr/>
        <w:t>6.3 Integrações SAP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O processo possui integração entre diferentes módulos SAP</w:t>
      </w:r>
      <w:r>
        <w:rPr>
          <w:rFonts w:ascii="Calibri" w:hAnsi="Calibri"/>
        </w:rPr>
        <w:t>:</w:t>
      </w:r>
    </w:p>
    <w:tbl>
      <w:tblPr>
        <w:tblStyle w:val="Table"/>
        <w:tblW w:w="6682" w:type="dxa"/>
        <w:jc w:val="left"/>
        <w:tblInd w:w="52" w:type="dxa"/>
        <w:tblLayout w:type="fixed"/>
        <w:tblCellMar>
          <w:top w:w="57" w:type="dxa"/>
          <w:left w:w="57" w:type="dxa"/>
          <w:bottom w:w="28" w:type="dxa"/>
          <w:right w:w="0" w:type="dxa"/>
        </w:tblCellMar>
        <w:tblLook w:firstRow="1" w:noVBand="0" w:lastRow="0" w:firstColumn="0" w:lastColumn="0" w:noHBand="0" w:val="0020"/>
      </w:tblPr>
      <w:tblGrid>
        <w:gridCol w:w="2372"/>
        <w:gridCol w:w="4309"/>
      </w:tblGrid>
      <w:tr>
        <w:trPr/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93" w:after="93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b/>
                <w:bCs/>
                <w:kern w:val="0"/>
                <w:sz w:val="20"/>
                <w:szCs w:val="20"/>
                <w:lang w:val="en-US" w:eastAsia="en-US" w:bidi="ar-SA"/>
              </w:rPr>
              <w:t>Integração</w:t>
            </w:r>
          </w:p>
        </w:tc>
        <w:tc>
          <w:tcPr>
            <w:tcW w:w="43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93" w:after="93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b/>
                <w:bCs/>
                <w:kern w:val="0"/>
                <w:sz w:val="20"/>
                <w:szCs w:val="20"/>
                <w:lang w:val="en-US" w:eastAsia="en-US" w:bidi="ar-SA"/>
              </w:rPr>
              <w:t>Objetivo</w:t>
            </w:r>
          </w:p>
        </w:tc>
      </w:tr>
      <w:tr>
        <w:trPr/>
        <w:tc>
          <w:tcPr>
            <w:tcW w:w="237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SD ↔ MM</w:t>
            </w:r>
          </w:p>
        </w:tc>
        <w:tc>
          <w:tcPr>
            <w:tcW w:w="43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Execução logística e estoque</w:t>
            </w:r>
          </w:p>
        </w:tc>
      </w:tr>
      <w:tr>
        <w:trPr/>
        <w:tc>
          <w:tcPr>
            <w:tcW w:w="237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SD ↔ Fiscal</w:t>
            </w:r>
          </w:p>
        </w:tc>
        <w:tc>
          <w:tcPr>
            <w:tcW w:w="43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Emissão de NF-e</w:t>
            </w:r>
          </w:p>
        </w:tc>
      </w:tr>
      <w:tr>
        <w:trPr/>
        <w:tc>
          <w:tcPr>
            <w:tcW w:w="237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MM ↔ Contábil</w:t>
            </w:r>
          </w:p>
        </w:tc>
        <w:tc>
          <w:tcPr>
            <w:tcW w:w="43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Movimentações e contabilizações automáticas</w:t>
            </w:r>
          </w:p>
        </w:tc>
      </w:tr>
    </w:tbl>
    <w:p>
      <w:pPr>
        <w:pStyle w:val="Heading1"/>
        <w:rPr>
          <w:rFonts w:ascii="Calibri" w:hAnsi="Calibri"/>
        </w:rPr>
      </w:pPr>
      <w:bookmarkStart w:id="93" w:name="__RefHeading___Toc2369_4124369062"/>
      <w:bookmarkStart w:id="94" w:name="raias-funcionais-do-processo"/>
      <w:bookmarkEnd w:id="93"/>
      <w:bookmarkEnd w:id="94"/>
      <w:r>
        <w:rPr/>
        <w:t>7. Raias Funcionais do Processo</w:t>
      </w:r>
    </w:p>
    <w:tbl>
      <w:tblPr>
        <w:tblStyle w:val="Table"/>
        <w:tblW w:w="5000" w:type="pct"/>
        <w:jc w:val="left"/>
        <w:tblInd w:w="57" w:type="dxa"/>
        <w:tblLayout w:type="fixed"/>
        <w:tblCellMar>
          <w:top w:w="57" w:type="dxa"/>
          <w:left w:w="57" w:type="dxa"/>
          <w:bottom w:w="28" w:type="dxa"/>
          <w:right w:w="0" w:type="dxa"/>
        </w:tblCellMar>
        <w:tblLook w:firstRow="1" w:noVBand="0" w:lastRow="0" w:firstColumn="0" w:lastColumn="0" w:noHBand="0" w:val="0020"/>
      </w:tblPr>
      <w:tblGrid>
        <w:gridCol w:w="2369"/>
        <w:gridCol w:w="3017"/>
        <w:gridCol w:w="4019"/>
      </w:tblGrid>
      <w:tr>
        <w:trPr>
          <w:tblHeader w:val="true"/>
        </w:trPr>
        <w:tc>
          <w:tcPr>
            <w:tcW w:w="2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93" w:after="93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b/>
                <w:bCs/>
                <w:kern w:val="0"/>
                <w:sz w:val="20"/>
                <w:szCs w:val="20"/>
                <w:lang w:val="en-US" w:eastAsia="en-US" w:bidi="ar-SA"/>
              </w:rPr>
              <w:t>Raia</w:t>
            </w:r>
          </w:p>
        </w:tc>
        <w:tc>
          <w:tcPr>
            <w:tcW w:w="30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93" w:after="93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b/>
                <w:bCs/>
                <w:kern w:val="0"/>
                <w:sz w:val="20"/>
                <w:szCs w:val="20"/>
                <w:lang w:val="en-US" w:eastAsia="en-US" w:bidi="ar-SA"/>
              </w:rPr>
              <w:t>Responsabilidade</w:t>
            </w:r>
          </w:p>
        </w:tc>
        <w:tc>
          <w:tcPr>
            <w:tcW w:w="4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93" w:after="93"/>
              <w:jc w:val="center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b/>
                <w:bCs/>
                <w:kern w:val="0"/>
                <w:sz w:val="20"/>
                <w:szCs w:val="20"/>
                <w:lang w:val="en-US" w:eastAsia="en-US" w:bidi="ar-SA"/>
              </w:rPr>
              <w:t>Principais Elementos</w:t>
            </w:r>
          </w:p>
        </w:tc>
      </w:tr>
      <w:tr>
        <w:trPr/>
        <w:tc>
          <w:tcPr>
            <w:tcW w:w="236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Cliente / Revenda</w:t>
            </w:r>
          </w:p>
        </w:tc>
        <w:tc>
          <w:tcPr>
            <w:tcW w:w="301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Solicitação e devolução física</w:t>
            </w:r>
          </w:p>
        </w:tc>
        <w:tc>
          <w:tcPr>
            <w:tcW w:w="40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Recebimento e devolução de materiais</w:t>
            </w:r>
          </w:p>
        </w:tc>
      </w:tr>
      <w:tr>
        <w:trPr/>
        <w:tc>
          <w:tcPr>
            <w:tcW w:w="236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CS (Customer Service)</w:t>
            </w:r>
          </w:p>
        </w:tc>
        <w:tc>
          <w:tcPr>
            <w:tcW w:w="301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Análise técnica e decisão</w:t>
            </w:r>
          </w:p>
        </w:tc>
        <w:tc>
          <w:tcPr>
            <w:tcW w:w="40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IW51, IW52, análise técnica</w:t>
            </w:r>
          </w:p>
        </w:tc>
      </w:tr>
      <w:tr>
        <w:trPr/>
        <w:tc>
          <w:tcPr>
            <w:tcW w:w="236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SD</w:t>
            </w:r>
          </w:p>
        </w:tc>
        <w:tc>
          <w:tcPr>
            <w:tcW w:w="301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Pedidos e remessas</w:t>
            </w:r>
          </w:p>
        </w:tc>
        <w:tc>
          <w:tcPr>
            <w:tcW w:w="40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VA01, ZGAR, ZEAG, ZDGA, ZDAG</w:t>
            </w:r>
          </w:p>
        </w:tc>
      </w:tr>
      <w:tr>
        <w:trPr/>
        <w:tc>
          <w:tcPr>
            <w:tcW w:w="236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MM / Estoque</w:t>
            </w:r>
          </w:p>
        </w:tc>
        <w:tc>
          <w:tcPr>
            <w:tcW w:w="301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Movimentações logísticas</w:t>
            </w:r>
          </w:p>
        </w:tc>
        <w:tc>
          <w:tcPr>
            <w:tcW w:w="40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VL01N, VL02N, movimentos MM</w:t>
            </w:r>
          </w:p>
        </w:tc>
      </w:tr>
      <w:tr>
        <w:trPr/>
        <w:tc>
          <w:tcPr>
            <w:tcW w:w="236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Fiscal / Contábil</w:t>
            </w:r>
          </w:p>
        </w:tc>
        <w:tc>
          <w:tcPr>
            <w:tcW w:w="301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Faturamento e NF-e</w:t>
            </w:r>
          </w:p>
        </w:tc>
        <w:tc>
          <w:tcPr>
            <w:tcW w:w="40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libri" w:hAnsi="Calibri"/>
              </w:rPr>
            </w:pPr>
            <w:r>
              <w:rPr>
                <w:rFonts w:eastAsia="Aptos" w:cs="" w:ascii="Calibri" w:hAnsi="Calibri"/>
                <w:kern w:val="0"/>
                <w:sz w:val="20"/>
                <w:szCs w:val="20"/>
                <w:lang w:val="en-US" w:eastAsia="en-US" w:bidi="ar-SA"/>
              </w:rPr>
              <w:t>VF01, NF-e, cobrança</w:t>
            </w:r>
          </w:p>
        </w:tc>
      </w:tr>
    </w:tbl>
    <w:p>
      <w:pPr>
        <w:pStyle w:val="Heading1"/>
        <w:rPr>
          <w:rFonts w:ascii="Calibri" w:hAnsi="Calibri"/>
        </w:rPr>
      </w:pPr>
      <w:bookmarkStart w:id="95" w:name="__RefHeading___Toc2371_4124369062"/>
      <w:bookmarkStart w:id="96" w:name="raias-funcionais-do-processo_Copia_1"/>
      <w:bookmarkEnd w:id="95"/>
      <w:bookmarkEnd w:id="96"/>
      <w:r>
        <w:rPr>
          <w:sz w:val="22"/>
          <w:szCs w:val="22"/>
        </w:rPr>
        <w:br/>
      </w:r>
      <w:bookmarkStart w:id="97" w:name="fluxo-macro-do-processo"/>
      <w:r>
        <w:rPr/>
        <w:t>8. Fluxo Macro do Processo</w:t>
      </w:r>
    </w:p>
    <w:p>
      <w:pPr>
        <w:pStyle w:val="Heading2"/>
        <w:rPr>
          <w:rFonts w:ascii="Calibri" w:hAnsi="Calibri"/>
        </w:rPr>
      </w:pPr>
      <w:bookmarkStart w:id="98" w:name="__RefHeading___Toc2373_4124369062"/>
      <w:bookmarkEnd w:id="98"/>
      <w:r>
        <w:rPr/>
        <w:t>Sequência Operacional</w:t>
      </w:r>
    </w:p>
    <w:p>
      <w:pPr>
        <w:pStyle w:val="Compact"/>
        <w:numPr>
          <w:ilvl w:val="0"/>
          <w:numId w:val="147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Cliente solicita garantia;</w:t>
      </w:r>
    </w:p>
    <w:p>
      <w:pPr>
        <w:pStyle w:val="Compact"/>
        <w:numPr>
          <w:ilvl w:val="0"/>
          <w:numId w:val="148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CS cria notificação IW51;</w:t>
      </w:r>
    </w:p>
    <w:p>
      <w:pPr>
        <w:pStyle w:val="Compact"/>
        <w:numPr>
          <w:ilvl w:val="0"/>
          <w:numId w:val="149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SD cria remessa ZGAR;</w:t>
      </w:r>
    </w:p>
    <w:p>
      <w:pPr>
        <w:pStyle w:val="Compact"/>
        <w:numPr>
          <w:ilvl w:val="0"/>
          <w:numId w:val="150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MM executa remessa de saída via VL01N/VL02N;</w:t>
      </w:r>
    </w:p>
    <w:p>
      <w:pPr>
        <w:pStyle w:val="Compact"/>
        <w:numPr>
          <w:ilvl w:val="0"/>
          <w:numId w:val="151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Movimento 631 transfere estoque para consignação;</w:t>
      </w:r>
    </w:p>
    <w:p>
      <w:pPr>
        <w:pStyle w:val="Compact"/>
        <w:numPr>
          <w:ilvl w:val="0"/>
          <w:numId w:val="152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Fiscal gera NF-e de saída;</w:t>
      </w:r>
    </w:p>
    <w:p>
      <w:pPr>
        <w:pStyle w:val="Compact"/>
        <w:numPr>
          <w:ilvl w:val="0"/>
          <w:numId w:val="153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Cliente devolve material defeituoso;</w:t>
      </w:r>
    </w:p>
    <w:p>
      <w:pPr>
        <w:pStyle w:val="Compact"/>
        <w:numPr>
          <w:ilvl w:val="0"/>
          <w:numId w:val="154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SD cria ZEAG para entrada de análise;</w:t>
      </w:r>
    </w:p>
    <w:p>
      <w:pPr>
        <w:pStyle w:val="Compact"/>
        <w:numPr>
          <w:ilvl w:val="0"/>
          <w:numId w:val="155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MM executa remessa de entrada via VL01N/VL02N;</w:t>
      </w:r>
    </w:p>
    <w:p>
      <w:pPr>
        <w:pStyle w:val="Compact"/>
        <w:numPr>
          <w:ilvl w:val="0"/>
          <w:numId w:val="156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MM executa entrada via movimento Z17 no depósito D025;</w:t>
      </w:r>
    </w:p>
    <w:p>
      <w:pPr>
        <w:pStyle w:val="Compact"/>
        <w:numPr>
          <w:ilvl w:val="0"/>
          <w:numId w:val="157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Departamento de qualidade realiza análise técnica;</w:t>
      </w:r>
    </w:p>
    <w:p>
      <w:pPr>
        <w:pStyle w:val="Compact"/>
        <w:numPr>
          <w:ilvl w:val="0"/>
          <w:numId w:val="158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Qualidade/Comercial decide se garantia foi concedida ou negada;</w:t>
      </w:r>
    </w:p>
    <w:p>
      <w:pPr>
        <w:pStyle w:val="Compact"/>
        <w:numPr>
          <w:ilvl w:val="0"/>
          <w:numId w:val="159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Fluxos ZDGA/ZDAG realizam acertos fiscais e devoluções;</w:t>
      </w:r>
    </w:p>
    <w:p>
      <w:pPr>
        <w:pStyle w:val="Compact"/>
        <w:numPr>
          <w:ilvl w:val="0"/>
          <w:numId w:val="160"/>
        </w:numPr>
        <w:rPr>
          <w:rFonts w:ascii="Calibri" w:hAnsi="Calibri"/>
        </w:rPr>
      </w:pPr>
      <w:bookmarkStart w:id="99" w:name="sequência-operacional-consolidada"/>
      <w:r>
        <w:rPr>
          <w:rFonts w:ascii="Calibri" w:hAnsi="Calibri"/>
          <w:sz w:val="22"/>
          <w:szCs w:val="22"/>
        </w:rPr>
        <w:t>Fiscal executa faturamento final ou cobrança da revenda.</w:t>
      </w:r>
      <w:bookmarkEnd w:id="97"/>
      <w:bookmarkEnd w:id="99"/>
    </w:p>
    <w:p>
      <w:pPr>
        <w:pStyle w:val="Heading1"/>
        <w:rPr>
          <w:rFonts w:ascii="Calibri" w:hAnsi="Calibri"/>
        </w:rPr>
      </w:pPr>
      <w:bookmarkStart w:id="100" w:name="__RefHeading___Toc2375_4124369062"/>
      <w:bookmarkEnd w:id="100"/>
      <w:r>
        <w:rPr>
          <w:sz w:val="22"/>
          <w:szCs w:val="22"/>
        </w:rPr>
        <w:br/>
      </w:r>
      <w:r>
        <w:rPr/>
        <w:t>9</w:t>
      </w:r>
      <w:bookmarkStart w:id="101" w:name="anexos"/>
      <w:r>
        <w:rPr/>
        <w:t>. Anexos</w:t>
      </w:r>
    </w:p>
    <w:p>
      <w:pPr>
        <w:pStyle w:val="Heading2"/>
        <w:rPr>
          <w:rFonts w:ascii="Calibri" w:hAnsi="Calibri"/>
        </w:rPr>
      </w:pPr>
      <w:bookmarkStart w:id="102" w:name="__RefHeading___Toc2377_4124369062"/>
      <w:bookmarkEnd w:id="102"/>
      <w:r>
        <w:rPr/>
        <w:t>9</w:t>
      </w:r>
      <w:bookmarkStart w:id="103" w:name="diagramas-bpmn"/>
      <w:r>
        <w:rPr/>
        <w:t>.1 Diagramas BPMN</w:t>
      </w:r>
      <w:bookmarkEnd w:id="103"/>
    </w:p>
    <w:p>
      <w:pPr>
        <w:pStyle w:val="BodyTex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BodyText"/>
        <w:spacing w:before="180" w:after="180"/>
        <w:rPr>
          <w:rFonts w:ascii="Calibri" w:hAnsi="Calibri"/>
        </w:rPr>
      </w:pPr>
      <w:r>
        <w:rPr>
          <w:rFonts w:ascii="Calibri" w:hAnsi="Calibri"/>
        </w:rP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5972175" cy="4552315"/>
            <wp:effectExtent l="0" t="0" r="0" b="0"/>
            <wp:wrapSquare wrapText="largest"/>
            <wp:docPr id="6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552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101"/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701" w:right="1134" w:gutter="0" w:header="850" w:top="1553" w:footer="340" w:bottom="135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1"/>
    <w:family w:val="swiss"/>
    <w:pitch w:val="default"/>
  </w:font>
  <w:font w:name="Calibri">
    <w:charset w:val="01"/>
    <w:family w:val="swiss"/>
    <w:pitch w:val="default"/>
  </w:font>
  <w:font w:name="Aptos Display">
    <w:charset w:val="01"/>
    <w:family w:val="swiss"/>
    <w:pitch w:val="default"/>
  </w:font>
  <w:font w:name="Consolas">
    <w:charset w:val="01"/>
    <w:family w:val="swiss"/>
    <w:pitch w:val="default"/>
  </w:font>
  <w:font w:name="Calibri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405" w:type="dxa"/>
      <w:jc w:val="center"/>
      <w:tblInd w:w="0" w:type="dxa"/>
      <w:tblLayout w:type="fixed"/>
      <w:tblCellMar>
        <w:top w:w="0" w:type="dxa"/>
        <w:left w:w="113" w:type="dxa"/>
        <w:bottom w:w="0" w:type="dxa"/>
        <w:right w:w="113" w:type="dxa"/>
      </w:tblCellMar>
    </w:tblPr>
    <w:tblGrid>
      <w:gridCol w:w="4699"/>
      <w:gridCol w:w="4705"/>
    </w:tblGrid>
    <w:tr>
      <w:trPr/>
      <w:tc>
        <w:tcPr>
          <w:tcW w:w="4699" w:type="dxa"/>
          <w:tcBorders/>
          <w:vAlign w:val="bottom"/>
        </w:tcPr>
        <w:p>
          <w:pPr>
            <w:pStyle w:val="Contedodatabela"/>
            <w:spacing w:before="57" w:after="57"/>
            <w:jc w:val="left"/>
            <w:rPr>
              <w:rFonts w:ascii="Calibri" w:hAnsi="Calibri"/>
              <w:sz w:val="20"/>
              <w:szCs w:val="20"/>
            </w:rPr>
          </w:pPr>
          <w:r>
            <w:rPr>
              <w:rFonts w:ascii="Calibri" w:hAnsi="Calibri"/>
              <w:sz w:val="20"/>
              <w:szCs w:val="20"/>
            </w:rPr>
            <w:fldChar w:fldCharType="begin" w:fldLock="true"/>
          </w:r>
          <w:r>
            <w:rPr>
              <w:sz w:val="20"/>
              <w:szCs w:val="20"/>
              <w:rFonts w:ascii="Calibri" w:hAnsi="Calibri"/>
            </w:rPr>
            <w:instrText xml:space="preserve"> DATE \@"MMMM\ yyyy" </w:instrText>
          </w:r>
          <w:r>
            <w:rPr>
              <w:sz w:val="20"/>
              <w:szCs w:val="20"/>
              <w:rFonts w:ascii="Calibri" w:hAnsi="Calibri"/>
            </w:rPr>
            <w:fldChar w:fldCharType="separate"/>
          </w:r>
          <w:r>
            <w:rPr>
              <w:sz w:val="20"/>
              <w:szCs w:val="20"/>
              <w:rFonts w:ascii="Calibri" w:hAnsi="Calibri"/>
            </w:rPr>
            <w:t>May 2026</w:t>
          </w:r>
          <w:r>
            <w:rPr>
              <w:sz w:val="20"/>
              <w:szCs w:val="20"/>
              <w:rFonts w:ascii="Calibri" w:hAnsi="Calibri"/>
            </w:rPr>
            <w:fldChar w:fldCharType="end"/>
          </w:r>
        </w:p>
      </w:tc>
      <w:tc>
        <w:tcPr>
          <w:tcW w:w="4705" w:type="dxa"/>
          <w:tcBorders/>
        </w:tcPr>
        <w:p>
          <w:pPr>
            <w:pStyle w:val="Contedodatabela"/>
            <w:spacing w:before="57" w:after="57"/>
            <w:jc w:val="right"/>
            <w:rPr>
              <w:rFonts w:ascii="Calibri" w:hAnsi="Calibri"/>
              <w:sz w:val="20"/>
              <w:szCs w:val="20"/>
            </w:rPr>
          </w:pPr>
          <w:r>
            <w:rPr>
              <w:rFonts w:ascii="Calibri" w:hAnsi="Calibri"/>
              <w:sz w:val="20"/>
              <w:szCs w:val="20"/>
            </w:rPr>
            <w:t xml:space="preserve">Página  </w:t>
          </w:r>
          <w:r>
            <w:rPr>
              <w:rFonts w:ascii="Calibri" w:hAnsi="Calibri"/>
              <w:sz w:val="20"/>
              <w:szCs w:val="20"/>
            </w:rPr>
            <w:fldChar w:fldCharType="begin"/>
          </w:r>
          <w:r>
            <w:rPr>
              <w:sz w:val="20"/>
              <w:szCs w:val="20"/>
              <w:rFonts w:ascii="Calibri" w:hAnsi="Calibri"/>
            </w:rPr>
            <w:instrText xml:space="preserve"> PAGE </w:instrText>
          </w:r>
          <w:r>
            <w:rPr>
              <w:sz w:val="20"/>
              <w:szCs w:val="20"/>
              <w:rFonts w:ascii="Calibri" w:hAnsi="Calibri"/>
            </w:rPr>
            <w:fldChar w:fldCharType="separate"/>
          </w:r>
          <w:r>
            <w:rPr>
              <w:sz w:val="20"/>
              <w:szCs w:val="20"/>
              <w:rFonts w:ascii="Calibri" w:hAnsi="Calibri"/>
            </w:rPr>
            <w:t>12</w:t>
          </w:r>
          <w:r>
            <w:rPr>
              <w:sz w:val="20"/>
              <w:szCs w:val="20"/>
              <w:rFonts w:ascii="Calibri" w:hAnsi="Calibri"/>
            </w:rPr>
            <w:fldChar w:fldCharType="end"/>
          </w:r>
        </w:p>
      </w:tc>
    </w:tr>
  </w:tbl>
  <w:p>
    <w:pPr>
      <w:pStyle w:val="Footer"/>
      <w:spacing w:before="0" w:after="200"/>
      <w:jc w:val="left"/>
      <w:rPr>
        <w:rFonts w:ascii="Calibri" w:hAnsi="Calibri"/>
        <w:sz w:val="12"/>
        <w:szCs w:val="12"/>
      </w:rPr>
    </w:pPr>
    <w:r>
      <w:rPr>
        <w:rFonts w:ascii="Calibri" w:hAnsi="Calibri"/>
        <w:sz w:val="12"/>
        <w:szCs w:val="12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405" w:type="dxa"/>
      <w:jc w:val="center"/>
      <w:tblInd w:w="0" w:type="dxa"/>
      <w:tblLayout w:type="fixed"/>
      <w:tblCellMar>
        <w:top w:w="0" w:type="dxa"/>
        <w:left w:w="113" w:type="dxa"/>
        <w:bottom w:w="0" w:type="dxa"/>
        <w:right w:w="113" w:type="dxa"/>
      </w:tblCellMar>
    </w:tblPr>
    <w:tblGrid>
      <w:gridCol w:w="4699"/>
      <w:gridCol w:w="4705"/>
    </w:tblGrid>
    <w:tr>
      <w:trPr/>
      <w:tc>
        <w:tcPr>
          <w:tcW w:w="4699" w:type="dxa"/>
          <w:tcBorders/>
          <w:vAlign w:val="bottom"/>
        </w:tcPr>
        <w:p>
          <w:pPr>
            <w:pStyle w:val="Contedodatabela"/>
            <w:spacing w:before="57" w:after="57"/>
            <w:jc w:val="left"/>
            <w:rPr>
              <w:rFonts w:ascii="Calibri" w:hAnsi="Calibri"/>
              <w:sz w:val="20"/>
              <w:szCs w:val="20"/>
            </w:rPr>
          </w:pPr>
          <w:r>
            <w:rPr>
              <w:rFonts w:ascii="Calibri" w:hAnsi="Calibri"/>
              <w:sz w:val="20"/>
              <w:szCs w:val="20"/>
            </w:rPr>
            <w:fldChar w:fldCharType="begin" w:fldLock="true"/>
          </w:r>
          <w:r>
            <w:rPr>
              <w:sz w:val="20"/>
              <w:szCs w:val="20"/>
              <w:rFonts w:ascii="Calibri" w:hAnsi="Calibri"/>
            </w:rPr>
            <w:instrText xml:space="preserve"> DATE \@"MMMM\ yyyy" </w:instrText>
          </w:r>
          <w:r>
            <w:rPr>
              <w:sz w:val="20"/>
              <w:szCs w:val="20"/>
              <w:rFonts w:ascii="Calibri" w:hAnsi="Calibri"/>
            </w:rPr>
            <w:fldChar w:fldCharType="separate"/>
          </w:r>
          <w:r>
            <w:rPr>
              <w:sz w:val="20"/>
              <w:szCs w:val="20"/>
              <w:rFonts w:ascii="Calibri" w:hAnsi="Calibri"/>
            </w:rPr>
            <w:t>May 2026</w:t>
          </w:r>
          <w:r>
            <w:rPr>
              <w:sz w:val="20"/>
              <w:szCs w:val="20"/>
              <w:rFonts w:ascii="Calibri" w:hAnsi="Calibri"/>
            </w:rPr>
            <w:fldChar w:fldCharType="end"/>
          </w:r>
        </w:p>
      </w:tc>
      <w:tc>
        <w:tcPr>
          <w:tcW w:w="4705" w:type="dxa"/>
          <w:tcBorders/>
        </w:tcPr>
        <w:p>
          <w:pPr>
            <w:pStyle w:val="Contedodatabela"/>
            <w:spacing w:before="57" w:after="57"/>
            <w:jc w:val="right"/>
            <w:rPr>
              <w:rFonts w:ascii="Calibri" w:hAnsi="Calibri"/>
              <w:sz w:val="20"/>
              <w:szCs w:val="20"/>
            </w:rPr>
          </w:pPr>
          <w:r>
            <w:rPr>
              <w:rFonts w:ascii="Calibri" w:hAnsi="Calibri"/>
              <w:sz w:val="20"/>
              <w:szCs w:val="20"/>
            </w:rPr>
            <w:t xml:space="preserve">Página  </w:t>
          </w:r>
          <w:r>
            <w:rPr>
              <w:rFonts w:ascii="Calibri" w:hAnsi="Calibri"/>
              <w:sz w:val="20"/>
              <w:szCs w:val="20"/>
            </w:rPr>
            <w:fldChar w:fldCharType="begin"/>
          </w:r>
          <w:r>
            <w:rPr>
              <w:sz w:val="20"/>
              <w:szCs w:val="20"/>
              <w:rFonts w:ascii="Calibri" w:hAnsi="Calibri"/>
            </w:rPr>
            <w:instrText xml:space="preserve"> PAGE </w:instrText>
          </w:r>
          <w:r>
            <w:rPr>
              <w:sz w:val="20"/>
              <w:szCs w:val="20"/>
              <w:rFonts w:ascii="Calibri" w:hAnsi="Calibri"/>
            </w:rPr>
            <w:fldChar w:fldCharType="separate"/>
          </w:r>
          <w:r>
            <w:rPr>
              <w:sz w:val="20"/>
              <w:szCs w:val="20"/>
              <w:rFonts w:ascii="Calibri" w:hAnsi="Calibri"/>
            </w:rPr>
            <w:t>12</w:t>
          </w:r>
          <w:r>
            <w:rPr>
              <w:sz w:val="20"/>
              <w:szCs w:val="20"/>
              <w:rFonts w:ascii="Calibri" w:hAnsi="Calibri"/>
            </w:rPr>
            <w:fldChar w:fldCharType="end"/>
          </w:r>
        </w:p>
      </w:tc>
    </w:tr>
  </w:tbl>
  <w:p>
    <w:pPr>
      <w:pStyle w:val="Footer"/>
      <w:spacing w:before="0" w:after="200"/>
      <w:jc w:val="left"/>
      <w:rPr>
        <w:rFonts w:ascii="Calibri" w:hAnsi="Calibri"/>
        <w:sz w:val="12"/>
        <w:szCs w:val="12"/>
      </w:rPr>
    </w:pPr>
    <w:r>
      <w:rPr>
        <w:rFonts w:ascii="Calibri" w:hAnsi="Calibri"/>
        <w:sz w:val="12"/>
        <w:szCs w:val="12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spacing w:before="0" w:after="200"/>
      <w:rPr/>
    </w:pPr>
    <w:r>
      <w:rPr/>
      <w:drawing>
        <wp:anchor behindDoc="1" distT="0" distB="0" distL="0" distR="0" simplePos="0" locked="0" layoutInCell="0" allowOverlap="1" relativeHeight="13">
          <wp:simplePos x="0" y="0"/>
          <wp:positionH relativeFrom="column">
            <wp:align>left</wp:align>
          </wp:positionH>
          <wp:positionV relativeFrom="paragraph">
            <wp:align>bottom</wp:align>
          </wp:positionV>
          <wp:extent cx="1757045" cy="575945"/>
          <wp:effectExtent l="0" t="0" r="0" b="0"/>
          <wp:wrapSquare wrapText="largest"/>
          <wp:docPr id="7" name="Imagem 3 logo Implementos Agricolas JAN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3 logo Implementos Agricolas JAN" descr="Uma imagem contendo 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57045" cy="5759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0" allowOverlap="1" relativeHeight="30">
          <wp:simplePos x="0" y="0"/>
          <wp:positionH relativeFrom="column">
            <wp:posOffset>4802505</wp:posOffset>
          </wp:positionH>
          <wp:positionV relativeFrom="paragraph">
            <wp:posOffset>-273685</wp:posOffset>
          </wp:positionV>
          <wp:extent cx="1177290" cy="575945"/>
          <wp:effectExtent l="0" t="0" r="0" b="0"/>
          <wp:wrapTight wrapText="bothSides">
            <wp:wrapPolygon edited="0">
              <wp:start x="-10" y="0"/>
              <wp:lineTo x="-10" y="21074"/>
              <wp:lineTo x="21181" y="21074"/>
              <wp:lineTo x="21181" y="0"/>
              <wp:lineTo x="-10" y="0"/>
            </wp:wrapPolygon>
          </wp:wrapTight>
          <wp:docPr id="8" name="Figura10 SAP" descr="Desenho de personagem de desenho animad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Figura10 SAP" descr="Desenho de personagem de desenho animad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177290" cy="5759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spacing w:before="0" w:after="200"/>
      <w:rPr/>
    </w:pPr>
    <w:r>
      <w:rPr/>
      <w:drawing>
        <wp:anchor behindDoc="1" distT="0" distB="0" distL="0" distR="0" simplePos="0" locked="0" layoutInCell="0" allowOverlap="1" relativeHeight="13">
          <wp:simplePos x="0" y="0"/>
          <wp:positionH relativeFrom="column">
            <wp:align>left</wp:align>
          </wp:positionH>
          <wp:positionV relativeFrom="paragraph">
            <wp:align>bottom</wp:align>
          </wp:positionV>
          <wp:extent cx="1757045" cy="575945"/>
          <wp:effectExtent l="0" t="0" r="0" b="0"/>
          <wp:wrapSquare wrapText="largest"/>
          <wp:docPr id="9" name="Imagem 3 logo Implementos Agricolas JAN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3 logo Implementos Agricolas JAN" descr="Uma imagem contendo 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57045" cy="5759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0" allowOverlap="1" relativeHeight="30">
          <wp:simplePos x="0" y="0"/>
          <wp:positionH relativeFrom="column">
            <wp:posOffset>4802505</wp:posOffset>
          </wp:positionH>
          <wp:positionV relativeFrom="paragraph">
            <wp:posOffset>-273685</wp:posOffset>
          </wp:positionV>
          <wp:extent cx="1177290" cy="575945"/>
          <wp:effectExtent l="0" t="0" r="0" b="0"/>
          <wp:wrapTight wrapText="bothSides">
            <wp:wrapPolygon edited="0">
              <wp:start x="-10" y="0"/>
              <wp:lineTo x="-10" y="21074"/>
              <wp:lineTo x="21181" y="21074"/>
              <wp:lineTo x="21181" y="0"/>
              <wp:lineTo x="-10" y="0"/>
            </wp:wrapPolygon>
          </wp:wrapTight>
          <wp:docPr id="10" name="Figura10 SAP" descr="Desenho de personagem de desenho animad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Figura10 SAP" descr="Desenho de personagem de desenho animad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177290" cy="5759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1"/>
  </w:num>
  <w:num w:numId="83">
    <w:abstractNumId w:val="1"/>
  </w:num>
  <w:num w:numId="84">
    <w:abstractNumId w:val="1"/>
  </w:num>
  <w:num w:numId="85">
    <w:abstractNumId w:val="1"/>
  </w:num>
  <w:num w:numId="86">
    <w:abstractNumId w:val="1"/>
  </w:num>
  <w:num w:numId="87">
    <w:abstractNumId w:val="1"/>
  </w:num>
  <w:num w:numId="88">
    <w:abstractNumId w:val="1"/>
  </w:num>
  <w:num w:numId="89">
    <w:abstractNumId w:val="1"/>
  </w:num>
  <w:num w:numId="90">
    <w:abstractNumId w:val="1"/>
  </w:num>
  <w:num w:numId="91">
    <w:abstractNumId w:val="1"/>
  </w:num>
  <w:num w:numId="92">
    <w:abstractNumId w:val="1"/>
  </w:num>
  <w:num w:numId="93">
    <w:abstractNumId w:val="1"/>
  </w:num>
  <w:num w:numId="94">
    <w:abstractNumId w:val="1"/>
  </w:num>
  <w:num w:numId="95">
    <w:abstractNumId w:val="1"/>
  </w:num>
  <w:num w:numId="96">
    <w:abstractNumId w:val="1"/>
  </w:num>
  <w:num w:numId="97">
    <w:abstractNumId w:val="1"/>
  </w:num>
  <w:num w:numId="98">
    <w:abstractNumId w:val="1"/>
  </w:num>
  <w:num w:numId="99">
    <w:abstractNumId w:val="1"/>
  </w:num>
  <w:num w:numId="100">
    <w:abstractNumId w:val="1"/>
  </w:num>
  <w:num w:numId="101">
    <w:abstractNumId w:val="1"/>
  </w:num>
  <w:num w:numId="102">
    <w:abstractNumId w:val="1"/>
  </w:num>
  <w:num w:numId="103">
    <w:abstractNumId w:val="1"/>
  </w:num>
  <w:num w:numId="104">
    <w:abstractNumId w:val="1"/>
  </w:num>
  <w:num w:numId="105">
    <w:abstractNumId w:val="1"/>
  </w:num>
  <w:num w:numId="106">
    <w:abstractNumId w:val="1"/>
  </w:num>
  <w:num w:numId="107">
    <w:abstractNumId w:val="1"/>
  </w:num>
  <w:num w:numId="108">
    <w:abstractNumId w:val="1"/>
  </w:num>
  <w:num w:numId="109">
    <w:abstractNumId w:val="1"/>
  </w:num>
  <w:num w:numId="110">
    <w:abstractNumId w:val="1"/>
  </w:num>
  <w:num w:numId="111">
    <w:abstractNumId w:val="1"/>
  </w:num>
  <w:num w:numId="112">
    <w:abstractNumId w:val="1"/>
  </w:num>
  <w:num w:numId="113">
    <w:abstractNumId w:val="1"/>
  </w:num>
  <w:num w:numId="114">
    <w:abstractNumId w:val="1"/>
  </w:num>
  <w:num w:numId="115">
    <w:abstractNumId w:val="1"/>
  </w:num>
  <w:num w:numId="116">
    <w:abstractNumId w:val="1"/>
  </w:num>
  <w:num w:numId="117">
    <w:abstractNumId w:val="1"/>
  </w:num>
  <w:num w:numId="118">
    <w:abstractNumId w:val="1"/>
  </w:num>
  <w:num w:numId="119">
    <w:abstractNumId w:val="1"/>
  </w:num>
  <w:num w:numId="120">
    <w:abstractNumId w:val="1"/>
  </w:num>
  <w:num w:numId="121">
    <w:abstractNumId w:val="1"/>
  </w:num>
  <w:num w:numId="122">
    <w:abstractNumId w:val="1"/>
  </w:num>
  <w:num w:numId="123">
    <w:abstractNumId w:val="1"/>
  </w:num>
  <w:num w:numId="124">
    <w:abstractNumId w:val="1"/>
  </w:num>
  <w:num w:numId="125">
    <w:abstractNumId w:val="1"/>
  </w:num>
  <w:num w:numId="126">
    <w:abstractNumId w:val="1"/>
  </w:num>
  <w:num w:numId="127">
    <w:abstractNumId w:val="1"/>
  </w:num>
  <w:num w:numId="128">
    <w:abstractNumId w:val="1"/>
  </w:num>
  <w:num w:numId="129">
    <w:abstractNumId w:val="1"/>
  </w:num>
  <w:num w:numId="130">
    <w:abstractNumId w:val="1"/>
  </w:num>
  <w:num w:numId="131">
    <w:abstractNumId w:val="1"/>
  </w:num>
  <w:num w:numId="132">
    <w:abstractNumId w:val="52"/>
    <w:lvlOverride w:ilvl="0">
      <w:startOverride w:val="1"/>
    </w:lvlOverride>
  </w:num>
  <w:num w:numId="133">
    <w:abstractNumId w:val="52"/>
  </w:num>
  <w:num w:numId="134">
    <w:abstractNumId w:val="1"/>
  </w:num>
  <w:num w:numId="135">
    <w:abstractNumId w:val="1"/>
  </w:num>
  <w:num w:numId="136">
    <w:abstractNumId w:val="1"/>
  </w:num>
  <w:num w:numId="137">
    <w:abstractNumId w:val="1"/>
  </w:num>
  <w:num w:numId="138">
    <w:abstractNumId w:val="1"/>
  </w:num>
  <w:num w:numId="139">
    <w:abstractNumId w:val="1"/>
  </w:num>
  <w:num w:numId="140">
    <w:abstractNumId w:val="1"/>
  </w:num>
  <w:num w:numId="141">
    <w:abstractNumId w:val="1"/>
  </w:num>
  <w:num w:numId="142">
    <w:abstractNumId w:val="1"/>
  </w:num>
  <w:num w:numId="143">
    <w:abstractNumId w:val="1"/>
  </w:num>
  <w:num w:numId="144">
    <w:abstractNumId w:val="1"/>
  </w:num>
  <w:num w:numId="145">
    <w:abstractNumId w:val="1"/>
  </w:num>
  <w:num w:numId="146">
    <w:abstractNumId w:val="1"/>
  </w:num>
  <w:num w:numId="147">
    <w:abstractNumId w:val="52"/>
    <w:lvlOverride w:ilvl="0">
      <w:startOverride w:val="1"/>
    </w:lvlOverride>
  </w:num>
  <w:num w:numId="148">
    <w:abstractNumId w:val="52"/>
  </w:num>
  <w:num w:numId="149">
    <w:abstractNumId w:val="52"/>
  </w:num>
  <w:num w:numId="150">
    <w:abstractNumId w:val="52"/>
  </w:num>
  <w:num w:numId="151">
    <w:abstractNumId w:val="52"/>
  </w:num>
  <w:num w:numId="152">
    <w:abstractNumId w:val="52"/>
  </w:num>
  <w:num w:numId="153">
    <w:abstractNumId w:val="52"/>
  </w:num>
  <w:num w:numId="154">
    <w:abstractNumId w:val="52"/>
  </w:num>
  <w:num w:numId="155">
    <w:abstractNumId w:val="52"/>
  </w:num>
  <w:num w:numId="156">
    <w:abstractNumId w:val="52"/>
  </w:num>
  <w:num w:numId="157">
    <w:abstractNumId w:val="52"/>
  </w:num>
  <w:num w:numId="158">
    <w:abstractNumId w:val="52"/>
  </w:num>
  <w:num w:numId="159">
    <w:abstractNumId w:val="52"/>
  </w:num>
  <w:num w:numId="160">
    <w:abstractNumId w:val="52"/>
  </w:num>
</w:numbering>
</file>

<file path=word/settings.xml><?xml version="1.0" encoding="utf-8"?>
<w:settings xmlns:w="http://schemas.openxmlformats.org/wordprocessingml/2006/main">
  <w:zoom w:percent="11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Calibri" w:hAnsi="Calibri" w:eastAsia="" w:cs="" w:cstheme="majorBidi" w:eastAsiaTheme="majorEastAsia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Calibri" w:hAnsi="Calibri" w:eastAsia="" w:cs="" w:cstheme="majorBidi" w:eastAsiaTheme="majorEastAsia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ascii="Calibri" w:hAnsi="Calibri"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eresdenotaderodapuser">
    <w:name w:val="Caracteres de nota de rodapé (user)"/>
    <w:qFormat/>
    <w:rPr>
      <w:vertAlign w:val="superscript"/>
    </w:rPr>
  </w:style>
  <w:style w:type="character" w:styleId="Caracteresdenotaderodap">
    <w:name w:val="Caracteres de nota de rodapé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Vnculodendice">
    <w:name w:val="Vínculo de índice"/>
    <w:qFormat/>
    <w:rPr/>
  </w:style>
  <w:style w:type="character" w:styleId="Vnculodendiceuser">
    <w:name w:val="Vínculo de índice (user)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Calibri" w:hAnsi="Calibri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ascii="Calibri" w:hAnsi="Calibri"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ascii="Calibri" w:hAnsi="Calibri"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Calibri" w:hAnsi="Calibri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ascii="Calibri" w:hAnsi="Calibri"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user" w:customStyle="1">
    <w:name w:val="Figura (user)"/>
    <w:basedOn w:val="Normal"/>
    <w:qFormat/>
    <w:pPr/>
    <w:rPr/>
  </w:style>
  <w:style w:type="paragraph" w:styleId="CaptionedFigure" w:customStyle="1">
    <w:name w:val="Captioned Figure"/>
    <w:basedOn w:val="Figurauser"/>
    <w:qFormat/>
    <w:pPr>
      <w:keepNext w:val="true"/>
    </w:pPr>
    <w:rPr/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paragraph" w:styleId="Contedodoquadrouser">
    <w:name w:val="Conteúdo do quadro (user)"/>
    <w:basedOn w:val="Normal"/>
    <w:qFormat/>
    <w:pPr/>
    <w:rPr/>
  </w:style>
  <w:style w:type="paragraph" w:styleId="Cabealhoerodap">
    <w:name w:val="Cabeçalho e rodapé"/>
    <w:basedOn w:val="Normal"/>
    <w:qFormat/>
    <w:pPr>
      <w:suppressLineNumbers/>
      <w:tabs>
        <w:tab w:val="clear" w:pos="720"/>
        <w:tab w:val="center" w:pos="4702" w:leader="none"/>
        <w:tab w:val="right" w:pos="9405" w:leader="none"/>
      </w:tabs>
    </w:pPr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Cabealhoerodap"/>
    <w:pPr>
      <w:suppressLineNumbers/>
    </w:pPr>
    <w:rPr/>
  </w:style>
  <w:style w:type="paragraph" w:styleId="Footer">
    <w:name w:val="footer"/>
    <w:basedOn w:val="Cabealhoerodap"/>
    <w:pPr>
      <w:suppressLineNumbers/>
    </w:pPr>
    <w:rPr/>
  </w:style>
  <w:style w:type="paragraph" w:styleId="TOC1">
    <w:name w:val="toc 1"/>
    <w:basedOn w:val="ndice"/>
    <w:pPr>
      <w:tabs>
        <w:tab w:val="clear" w:pos="720"/>
        <w:tab w:val="right" w:pos="9405" w:leader="dot"/>
      </w:tabs>
      <w:ind w:hanging="0" w:left="0"/>
    </w:pPr>
    <w:rPr/>
  </w:style>
  <w:style w:type="paragraph" w:styleId="TOC2">
    <w:name w:val="toc 2"/>
    <w:basedOn w:val="ndice"/>
    <w:pPr>
      <w:tabs>
        <w:tab w:val="clear" w:pos="720"/>
        <w:tab w:val="right" w:pos="9122" w:leader="dot"/>
      </w:tabs>
      <w:ind w:hanging="0" w:left="283"/>
    </w:pPr>
    <w:rPr/>
  </w:style>
  <w:style w:type="paragraph" w:styleId="TOC3">
    <w:name w:val="toc 3"/>
    <w:basedOn w:val="ndice"/>
    <w:pPr>
      <w:tabs>
        <w:tab w:val="clear" w:pos="720"/>
        <w:tab w:val="right" w:pos="8838" w:leader="dot"/>
      </w:tabs>
      <w:ind w:hanging="0" w:left="567"/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Application>LibreOffice/25.2.4.3$Windows_X86_64 LibreOffice_project/33e196637044ead23f5c3226cde09b47731f7e27</Application>
  <AppVersion>15.0000</AppVersion>
  <Pages>12</Pages>
  <Words>1479</Words>
  <Characters>8182</Characters>
  <CharactersWithSpaces>9289</CharactersWithSpaces>
  <Paragraphs>333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2026-05-12T16:52:17Z</dcterms:created>
  <dc:creator/>
  <dc:description/>
  <dc:language>pt-BR</dc:language>
  <cp:lastModifiedBy/>
  <cp:lastPrinted>2026-05-13T14:17:29Z</cp:lastPrinted>
  <dcterms:modified xsi:type="dcterms:W3CDTF">2026-05-13T16:29:56Z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