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Triscal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Modernização do Sistema de Apontamento de Horas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Análise do Legado, Validação de Arquitetura e Recomendações de Tecnologia (Open-Source)</w:t>
      </w:r>
    </w:p>
    <w:p>
      <w:pPr>
        <w:spacing w:before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Revisão 2 — Maio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Sumário executivo</w:t>
      </w:r>
    </w:p>
    <w:p>
      <w:pPr>
        <w:spacing w:after="120"/>
      </w:pPr>
      <w:r>
        <w:rPr>
          <w:rFonts w:ascii="Arial" w:cs="Arial" w:eastAsia="Arial" w:hAnsi="Arial"/>
        </w:rPr>
        <w:t xml:space="preserve">Este documento consolida a análise do sistema legado de apontamento de horas da Triscal (Java/JSP + Oracle, schema TIMESHEET) e estabelece a base para o novo sistema. Nesta revisão, a arquitetura foi validada e as recomendações de tecnologia foram revisadas para priorizar componentes abertos/open-source e sem dependência de fornecedor (no vendor lock-in).</w:t>
      </w:r>
    </w:p>
    <w:p>
      <w:pPr>
        <w:spacing w:after="120"/>
      </w:pPr>
      <w:r>
        <w:rPr>
          <w:rFonts w:ascii="Arial" w:cs="Arial" w:eastAsia="Arial" w:hAnsi="Arial"/>
        </w:rPr>
        <w:t xml:space="preserve">Foram incorporadas duas evoluções funcionais solicitadas: o fechamento quinzenal de acompanhamento de projeto (horas executadas e % de execução, com o gestor de projeto informando o % de andamento) e a exigência de entregáveis adicionais na geração do novo sistema: classes de teste, documentação técnica e manual de utilização do usuário.</w:t>
      </w:r>
    </w:p>
    <w:p>
      <w:pPr>
        <w:spacing w:after="120"/>
      </w:pPr>
      <w:r>
        <w:rPr>
          <w:rFonts w:ascii="Arial" w:cs="Arial" w:eastAsia="Arial" w:hAnsi="Arial"/>
        </w:rPr>
        <w:t xml:space="preserve">O detalhamento técnico para geração do código está no arquivo PROMPT_GERACAO_NOVO_SISTEMA.md, atualizado em conjunto com este documento.</w:t>
      </w:r>
    </w:p>
    <w:p>
      <w:pPr>
        <w:pStyle w:val="Heading1"/>
      </w:pPr>
      <w:r>
        <w:t xml:space="preserve">2. Validação da arquitetura</w:t>
      </w:r>
    </w:p>
    <w:p>
      <w:pPr>
        <w:spacing w:after="120"/>
      </w:pPr>
      <w:r>
        <w:rPr>
          <w:rFonts w:ascii="Arial" w:cs="Arial" w:eastAsia="Arial" w:hAnsi="Arial"/>
        </w:rPr>
        <w:t xml:space="preserve">A arquitetura proposta — frontend SPA/PWA consumindo uma API REST stateless, autenticação via OpenID Connect e banco relacional — é adequada aos requisitos (mobile, SSO corporativo, segurança e migração de histórico). A validação abaixo registra os pontos fortes, os ajustes feitos para evitar dependência de fornecedor e os riscos a mitigar.</w:t>
      </w:r>
    </w:p>
    <w:p>
      <w:pPr>
        <w:pStyle w:val="Heading2"/>
      </w:pPr>
      <w:r>
        <w:t xml:space="preserve">2.1 Pontos fortes confirmados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Separação clara em camadas (Domain / Application / Infrastructure / API), com as regras de negócio na aplicação — e não mais em triggers de banco, como no legado.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API stateless com autenticação por token padrão (OIDC/JWT), o que favorece escala horizontal e clientes móveis.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PWA mobile-first atende ao requisito de uso em dispositivos móveis e ao lançamento rápido do 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Modelo de dados relacional preserva a semântica do legado e viabiliza a migração do histórico.</w:t>
      </w:r>
    </w:p>
    <w:p>
      <w:pPr>
        <w:pStyle w:val="Heading2"/>
      </w:pPr>
      <w:r>
        <w:t xml:space="preserve">2.2 Ajustes para evitar dependência de fornecedor (no vendor lock-in)</w:t>
      </w:r>
    </w:p>
    <w:p>
      <w:pPr>
        <w:spacing w:after="120"/>
      </w:pPr>
      <w:r>
        <w:rPr>
          <w:rFonts w:ascii="Arial" w:cs="Arial" w:eastAsia="Arial" w:hAnsi="Arial"/>
        </w:rPr>
        <w:t xml:space="preserve">O Azure permanece como ambiente de hospedagem e o Entra ID como provedor de identidade corporativo, mas a aplicação passa a depender apenas de padrões e componentes abertos, mantendo portabilidade entre nuvens e on-premises: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Identidade via padrão aberto</w:t>
      </w:r>
      <w:r>
        <w:rPr>
          <w:rFonts w:ascii="Arial" w:cs="Arial" w:eastAsia="Arial" w:hAnsi="Arial"/>
        </w:rPr>
        <w:t xml:space="preserve">: em vez de acoplar SDK proprietário (MSAL), usa-se o </w:t>
      </w:r>
      <w:r>
        <w:rPr>
          <w:rFonts w:ascii="Arial" w:cs="Arial" w:eastAsia="Arial" w:hAnsi="Arial"/>
          <w:b/>
          <w:bCs/>
        </w:rPr>
        <w:t xml:space="preserve">Keycloak</w:t>
      </w:r>
      <w:r>
        <w:rPr>
          <w:rFonts w:ascii="Arial" w:cs="Arial" w:eastAsia="Arial" w:hAnsi="Arial"/>
        </w:rPr>
        <w:t xml:space="preserve"> (open-source) como broker que federa o Entra ID por OIDC. Trocar de provedor de identidade passa a ser uma reconfiguração, não uma reescrita.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Contêineres + Kubernetes</w:t>
      </w:r>
      <w:r>
        <w:rPr>
          <w:rFonts w:ascii="Arial" w:cs="Arial" w:eastAsia="Arial" w:hAnsi="Arial"/>
        </w:rPr>
        <w:t xml:space="preserve"> (Docker/AKS) no lugar de PaaS proprietário, garantindo portabilidade.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Componentes open-source</w:t>
      </w:r>
      <w:r>
        <w:rPr>
          <w:rFonts w:ascii="Arial" w:cs="Arial" w:eastAsia="Arial" w:hAnsi="Arial"/>
        </w:rPr>
        <w:t xml:space="preserve"> para banco (PostgreSQL), cache (Redis), mensageria (RabbitMQ), observabilidade (Prometheus/Grafana/Loki) e segredos (Vault), abstraindo serviços específicos da nuvem.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Infraestrutura como código (Terraform)</w:t>
      </w:r>
      <w:r>
        <w:rPr>
          <w:rFonts w:ascii="Arial" w:cs="Arial" w:eastAsia="Arial" w:hAnsi="Arial"/>
        </w:rPr>
        <w:t xml:space="preserve"> e CI/CD em YAML padrão, reaproveitáveis em outro provedor.</w:t>
      </w:r>
    </w:p>
    <w:p>
      <w:pPr>
        <w:pStyle w:val="Heading2"/>
      </w:pPr>
      <w:r>
        <w:t xml:space="preserve">2.3 Riscos e mitigação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Operar Keycloak e Kubernetes exige maturidade de DevOps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Começar com configuração gerenciada/simplificada (AKS + Helm charts oficiais) e automação por Terraform; documentar runbooks.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Migração de Oracle → PostgreSQL (tipos, charset, triggers)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Migração incremental com validação de saldos de BHE; reescrita da lógica de trigger na aplicação coberta por testes.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Federação Entra ID ↔ Keycloak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Validar fluxo OIDC em ambiente de homologação antes do go-live; mapear papéis/claims com cuidado.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Consistência de cálculo de horas/BHE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Centralizar regras no domínio com testes unitários abrangentes (casos PJ/CLT, domingo/feriado).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Visão geral do sistema legado</w:t>
      </w:r>
    </w:p>
    <w:p>
      <w:pPr>
        <w:spacing w:after="120"/>
      </w:pPr>
      <w:r>
        <w:rPr>
          <w:rFonts w:ascii="Arial" w:cs="Arial" w:eastAsia="Arial" w:hAnsi="Arial"/>
        </w:rPr>
        <w:t xml:space="preserve">Aplicação web em JSP/Java (JDK 11) sobre framework interno de telas, com lógica relevante em triggers Oracle e codificação ISO-8859-1. As regras de negócio estão dispersas entre JavaScript no cliente, scriptlets JSP e o banco, o que dificulta manutenção e testes e motiva a substituição.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(JSP)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Tela_Log / Tela_Log_SubmitEdit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Apontamento da quinzena (grade dias × tarefas)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Abertura_Log / com_CriaLog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Abertura do log, replicando tarefas do período anterior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Aprova_Logs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Aprovação/rejeição dos logs pelo gestor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com_CadProjeto / com_CadTarefa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 de projetos, fases e tarefas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com_CadFeriado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Calendário de feriados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com_CadMovBHE / controle_banco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Movimentação e controle do banco de horas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com_Rel_*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Relatórios: horas por funcionário, a faturar, alocação, projeto/fase/tarefa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Modelo de dados (legado + extensões)</w:t>
      </w:r>
    </w:p>
    <w:p>
      <w:pPr>
        <w:spacing w:after="120"/>
      </w:pPr>
      <w:r>
        <w:rPr>
          <w:rFonts w:ascii="Arial" w:cs="Arial" w:eastAsia="Arial" w:hAnsi="Arial"/>
        </w:rPr>
        <w:t xml:space="preserve">Núcleo do domínio a ter a semântica preservada na migração para PostgreSQL, com duas extensões para o acompanhamento de projeto.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Campos-chave / relevantes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TIMESHEET_DIA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Lançamento do dia (sem projeto)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LOG_NR_HNORMAL, LOG_QN_AUSBHE, LOG_QN_AUSABN, ST_TIMESHEET_DIA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TIMESHEET_DIA_TAREFA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Horas do dia por tarefa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HORAS_NR_NC/CO/NCEXTRA/COEXTRA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FUNCIONARIO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TP_FUNCIONARIO (E/F), FUNC_CD_FUNC_APROVADOR, IN_POSSUI_BANCO_HORAS, SALDO_BHE50/100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PROJETO / PROJETO_FASE / PROJETO_TAREFA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Projeto em fases e tarefas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IN_INTERNO, IN_TAREFA_EXTERNA, PERC_CONCLUSAO_*, NR_HORASPREVISTAS/REAL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PROJETO_TAREFA_FUNCIONARIO / ALOCACAOPROJ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Alocação (quem pode lançar)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ST_ALOCACAO, PERC_CONCLUSAO_TAREFA_FUNC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LOG_PERIODO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Quinzena por funcionário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PERI_CD_PERIODO, LOPE_STT_LOG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FERIADO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Calendário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FERI_TP_FERIADO (NN/NF/LN/LF), FILIAL_CD_FILIAL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MOVIMENTACAO_SALDO_BHE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Movimentos do banco de horas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MOSA_VL_ABATIMENTO50/100, lançamento manual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andamento_projeto_hist (novo)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Histórico do % de andamento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projeto/fase/tarefa, data, autor, perc_informado, perc_derivado_horas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fechamento_quinzenal (novo)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do fechamento de acompanhamento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período, projeto, horas_executadas/previstas, perc_execucao, desvio, data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Regras de negócio extraídas</w:t>
      </w:r>
    </w:p>
    <w:p>
      <w:pPr>
        <w:pStyle w:val="Heading2"/>
      </w:pPr>
      <w:r>
        <w:t xml:space="preserve">5.1 Jornada, horas e BHE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Jornada padrão de </w:t>
      </w:r>
      <w:r>
        <w:rPr>
          <w:rFonts w:ascii="Arial" w:cs="Arial" w:eastAsia="Arial" w:hAnsi="Arial"/>
          <w:b/>
          <w:bCs/>
        </w:rPr>
        <w:t xml:space="preserve">8 horas/dia</w:t>
      </w:r>
      <w:r>
        <w:rPr>
          <w:rFonts w:ascii="Arial" w:cs="Arial" w:eastAsia="Arial" w:hAnsi="Arial"/>
        </w:rPr>
        <w:t xml:space="preserve"> (parametrizável); excedente vira </w:t>
      </w:r>
      <w:r>
        <w:rPr>
          <w:rFonts w:ascii="Arial" w:cs="Arial" w:eastAsia="Arial" w:hAnsi="Arial"/>
          <w:b/>
          <w:bCs/>
        </w:rPr>
        <w:t xml:space="preserve">hora extra</w:t>
      </w:r>
      <w:r>
        <w:rPr>
          <w:rFonts w:ascii="Arial" w:cs="Arial" w:eastAsia="Arial" w:hAnsi="Arial"/>
        </w:rPr>
        <w:t xml:space="preserve"> (paga ou </w:t>
      </w:r>
      <w:r>
        <w:rPr>
          <w:rFonts w:ascii="Arial" w:cs="Arial" w:eastAsia="Arial" w:hAnsi="Arial"/>
          <w:b/>
          <w:bCs/>
        </w:rPr>
        <w:t xml:space="preserve">BHE</w:t>
      </w:r>
      <w:r>
        <w:rPr>
          <w:rFonts w:ascii="Arial" w:cs="Arial" w:eastAsia="Arial" w:hAnsi="Arial"/>
        </w:rPr>
        <w:t xml:space="preserve">). Limite de </w:t>
      </w:r>
      <w:r>
        <w:rPr>
          <w:rFonts w:ascii="Arial" w:cs="Arial" w:eastAsia="Arial" w:hAnsi="Arial"/>
          <w:b/>
          <w:bCs/>
        </w:rPr>
        <w:t xml:space="preserve">24h/dia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Horas classificadas em CO (com cobrança) e NC (sem cobrança), normais e EXTRA; ausências AUSBHE (banco) e AUSABN (abono).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BHE (trigger TRG_TIMESHEET_DIA_BANCO_HE, ao aprovar o dia)</w:t>
      </w:r>
      <w:r>
        <w:rPr>
          <w:rFonts w:ascii="Arial" w:cs="Arial" w:eastAsia="Arial" w:hAnsi="Arial"/>
        </w:rPr>
        <w:t xml:space="preserve">: PJ ('E') só gera extra 50% (BHE50); CLT ('F') gera 100% (BHE100) em domingo/feriado e 50% nos demais dias. Apenas quem tem IN_POSSUI_BANCO_HORAS='S'. A lógica deve migrar para a camada de aplicação, com testes.</w:t>
      </w:r>
    </w:p>
    <w:p>
      <w:pPr>
        <w:pStyle w:val="Heading2"/>
      </w:pPr>
      <w:r>
        <w:t xml:space="preserve">5.2 Status do dia e aprovação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Aberto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edição pelo colaborador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Fechado pelo funcionário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Enviado, pendente de aprovação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Aprovado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Aprovado pelo gestor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Rejeitado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Reprovado; retorna para correção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Fluxo: </w:t>
      </w:r>
      <w:r>
        <w:rPr>
          <w:rFonts w:ascii="Arial" w:cs="Arial" w:eastAsia="Arial" w:hAnsi="Arial"/>
        </w:rPr>
        <w:t xml:space="preserve">A → F → (P | R). Cada funcionário tem um aprovador (FUNC_CD_FUNC_APROVADOR); o gestor não aprova o próprio log. A aprovação é por quinzena.</w:t>
      </w:r>
    </w:p>
    <w:p>
      <w:pPr>
        <w:pStyle w:val="Heading2"/>
      </w:pPr>
      <w:r>
        <w:t xml:space="preserve">5.3 Tarefas externas, feriados e quinzena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Tarefas externas (IN_TAREFA_EXTERNA='S', integração tipo OTRS): exibidas no log, porém somente leitura.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Feriados tipados (nacional/local, fixo/anual); locais dependem da filial do funcionário; alimentam o cálculo de extras 100% e os alertas.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Quinzenas de fechamento (legado: 11–25 e 26–10, parametrizável). Ao abrir nova quinzena, replicam-se as tarefas do período anterior. Só se lança em projeto/tarefa alocado e 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% de andamento (novo)</w:t>
      </w:r>
      <w:r>
        <w:rPr>
          <w:rFonts w:ascii="Arial" w:cs="Arial" w:eastAsia="Arial" w:hAnsi="Arial"/>
        </w:rPr>
        <w:t xml:space="preserve">: o Gestor de Projeto informa o % por projeto/fase/tarefa (campos PERC_CONCLUSAO_*), com histórico datado e comparação com o % derivado das horas.</w:t>
      </w:r>
    </w:p>
    <w:p>
      <w:r>
        <w:br w:type="page"/>
      </w:r>
    </w:p>
    <w:p>
      <w:pPr>
        <w:pStyle w:val="Heading1"/>
      </w:pPr>
      <w:r>
        <w:t xml:space="preserve">6. Novas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Lançamento do dia único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mobile com rascunho e auto-save para o colaborador lançar as horas do dia corrente.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diário de não preenchimento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 o colaborador que não preencheu o log do dia (respeitando feriados/folgas).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quinzenal ao gestor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Lembra o gestor dos logs pendentes de aprovação a cada fechamento.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de colaborador inadimplente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 o gestor sobre subordinados com dias em aberto ou atrasados.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Fechamento quinzenal de projeto (novo)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cada quinzena, relatório por projeto com horas executadas (e acumuladas), % de execução informado pelo Gestor de Projeto e % derivado das horas (realizado ÷ previsto), e o desvio entre eles. O Gestor de Projeto deve informar/confirmar o % de andamento como parte do fechamento; snapshot histórico para comparar a evolução entre quinzenas.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Visões gerenciais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Dashboards: previsto × realizado, evolução do % de andamento, horas por funcionário, a faturar, alocação, saldo de BHE, aderência de preenchimento.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Exportação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Relatórios em Excel e PDF.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Recomendações de tecnologia (open-source)</w:t>
      </w:r>
    </w:p>
    <w:p>
      <w:pPr>
        <w:spacing w:after="120"/>
      </w:pPr>
      <w:r>
        <w:rPr>
          <w:rFonts w:ascii="Arial" w:cs="Arial" w:eastAsia="Arial" w:hAnsi="Arial"/>
        </w:rPr>
        <w:t xml:space="preserve">Stack revisada para priorizar componentes abertos e portáveis. O Azure é o ambiente de hospedagem e o Entra ID o provedor de identidade corporativo, mas a aplicação não depende de SDKs ou serviços proprietários.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 (open-source)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 / anti-lock-in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21 + Spring Boot 3 (arquitetura hexagonal)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Aproveita a familiaridade da equipe com Java; alternativa aberta: Node.js + NestJS.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16 + Flyway/Liquibase (JPA/Hibernate)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aberto e robusto; migrations versionadas; migração de Oracle viável.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+ TypeScript + Vite (PWA), MUI/Mantine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Mobile-first; bibliotecas open-source.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Identidade/SSO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Keycloak (broker) federando o Entra ID via OIDC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Padrão aberto; sem MSAL; trocar de IdP é reconfiguração.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Autorização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 (Colaborador, Gestor de Projeto, Admin/RH, Diretoria)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Roles do token + perfis internos; autorização por dado.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/ Mensageria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/ RabbitMQ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Componentes abertos; usados conforme necessidade.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 + templates (MJML/Thymeleaf)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Protocolo aberto; sem API proprietária.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Recharts/Chart.js; OpenPDF/JasperReports; Apache POI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de PDF/Excel 100% open-source.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OpenTelemetry + Prometheus + Grafana + Loki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Telemetria aberta e portável.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Empacotamento/Infra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Kubernetes (AKS) + Terraform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Portável entre nuvens e on-premises.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ou GitLab CI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Pipelines YAML padrão.</w:t>
            </w:r>
          </w:p>
        </w:tc>
      </w:tr>
    </w:tbl>
    <w:p>
      <w:pPr>
        <w:pStyle w:val="Heading1"/>
      </w:pPr>
      <w:r>
        <w:t xml:space="preserve">8. Entregáveis da geração do novo sistema</w:t>
      </w:r>
    </w:p>
    <w:p>
      <w:pPr>
        <w:spacing w:after="120"/>
      </w:pPr>
      <w:r>
        <w:rPr>
          <w:rFonts w:ascii="Arial" w:cs="Arial" w:eastAsia="Arial" w:hAnsi="Arial"/>
        </w:rPr>
        <w:t xml:space="preserve">Além do código-fonte funcional, a geração do novo sistema deve produzir: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Classes de teste</w:t>
      </w:r>
      <w:r>
        <w:rPr>
          <w:rFonts w:ascii="Arial" w:cs="Arial" w:eastAsia="Arial" w:hAnsi="Arial"/>
        </w:rPr>
        <w:t xml:space="preserve"> — testes unitários (BHE, jornada, status, % de execução, fechamento quinzenal) e de integração de API, com cobertura mínima recomendada de 80% no núcleo de negócio.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Documentação técnica</w:t>
      </w:r>
      <w:r>
        <w:rPr>
          <w:rFonts w:ascii="Arial" w:cs="Arial" w:eastAsia="Arial" w:hAnsi="Arial"/>
        </w:rPr>
        <w:t xml:space="preserve"> — arquitetura (diagramas C4), ERD do modelo de dados, descrição de módulos/camadas, especificação OpenAPI/Swagger, guias de build local (Docker Compose) e deploy (Terraform/Kubernetes), variáveis de configuração, segurança e plano de migração.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Manual de utilização (usuário final)</w:t>
      </w:r>
      <w:r>
        <w:rPr>
          <w:rFonts w:ascii="Arial" w:cs="Arial" w:eastAsia="Arial" w:hAnsi="Arial"/>
        </w:rPr>
        <w:t xml:space="preserve"> em pt-BR, ilustrado, cobrindo login (SSO), lançamento de horas (quinzena e dia), BHE/horas extras, fechamento e aprovação, informe de % de andamento e fechamento quinzenal de projeto, relatórios/dashboards e alertas. Entregue em Markdown e PDF.</w:t>
      </w:r>
    </w:p>
    <w:p>
      <w:pPr>
        <w:pStyle w:val="Heading1"/>
      </w:pPr>
      <w:r>
        <w:t xml:space="preserve">9. Próximos passos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Validar com a equipe técnica/RH as regras e a arquitetura open-source desta revisão.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Usar o PROMPT_GERACAO_NOVO_SISTEMA.md (atualizado) para gerar o sistema de forma incremental, com testes, documentação técnica e manual.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Definir o plano de migração de dados e provisionar o ambiente (Terraform: AKS, PostgreSQL, Keycloak).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Validar a federação Entra ID ↔ Keycloak em homologação antes do go-live.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Triscal — Modernização do Apontamento de Horas (Rev. 2)    |  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2026-05-31T22:17:01.933Z</dcterms:created>
  <dcterms:modified xsi:type="dcterms:W3CDTF">2026-05-31T22:17:01.943Z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